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86DA6" w14:textId="7E3D9822" w:rsidR="003B7A3B" w:rsidRPr="00F90EBF" w:rsidRDefault="003B7A3B" w:rsidP="00F90EBF">
      <w:pPr>
        <w:pStyle w:val="Style10"/>
        <w:keepNext/>
        <w:keepLines/>
        <w:tabs>
          <w:tab w:val="left" w:pos="517"/>
        </w:tabs>
        <w:spacing w:after="0"/>
        <w:rPr>
          <w:b w:val="0"/>
          <w:bCs w:val="0"/>
          <w:sz w:val="28"/>
          <w:szCs w:val="28"/>
        </w:rPr>
      </w:pPr>
      <w:r w:rsidRPr="00F90EBF">
        <w:rPr>
          <w:rStyle w:val="CharStyle11"/>
          <w:b/>
          <w:bCs/>
          <w:color w:val="000000"/>
          <w:sz w:val="28"/>
          <w:szCs w:val="28"/>
          <w:lang w:eastAsia="pl-PL"/>
        </w:rPr>
        <w:t>OPIS I DANE TECHNICZNE ZADANIA</w:t>
      </w:r>
    </w:p>
    <w:p w14:paraId="31237DDB" w14:textId="793AD6C2" w:rsidR="003B7A3B" w:rsidRPr="00F90EBF" w:rsidRDefault="003B7A3B" w:rsidP="00F90EBF">
      <w:pPr>
        <w:pStyle w:val="Style7"/>
        <w:numPr>
          <w:ilvl w:val="0"/>
          <w:numId w:val="28"/>
        </w:numPr>
        <w:tabs>
          <w:tab w:val="left" w:pos="475"/>
          <w:tab w:val="left" w:pos="562"/>
        </w:tabs>
        <w:spacing w:before="240" w:after="240"/>
        <w:ind w:left="0" w:firstLine="0"/>
        <w:rPr>
          <w:rStyle w:val="CharStyle8"/>
          <w:b/>
          <w:bCs/>
          <w:color w:val="000000"/>
          <w:sz w:val="24"/>
          <w:szCs w:val="24"/>
          <w:u w:val="single"/>
          <w:lang w:eastAsia="pl-PL"/>
        </w:rPr>
      </w:pPr>
      <w:r w:rsidRPr="00F90EBF">
        <w:rPr>
          <w:rStyle w:val="CharStyle8"/>
          <w:b/>
          <w:bCs/>
          <w:color w:val="000000"/>
          <w:sz w:val="24"/>
          <w:szCs w:val="24"/>
          <w:u w:val="single"/>
          <w:lang w:eastAsia="pl-PL"/>
        </w:rPr>
        <w:t>Dane Techniczne</w:t>
      </w:r>
    </w:p>
    <w:p w14:paraId="482849C9" w14:textId="2920D5CB" w:rsidR="003C0521" w:rsidRPr="00F90EBF" w:rsidRDefault="003B7A3B" w:rsidP="00F90EBF">
      <w:pPr>
        <w:pStyle w:val="Style7"/>
        <w:numPr>
          <w:ilvl w:val="0"/>
          <w:numId w:val="24"/>
        </w:numPr>
        <w:tabs>
          <w:tab w:val="left" w:pos="475"/>
          <w:tab w:val="left" w:pos="562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typ obiektu: stacja gazowa wysokiego ciśnienia,</w:t>
      </w:r>
    </w:p>
    <w:p w14:paraId="37527ACE" w14:textId="77777777" w:rsidR="00F90EBF" w:rsidRPr="00F90EBF" w:rsidRDefault="003B7A3B" w:rsidP="00F90EBF">
      <w:pPr>
        <w:pStyle w:val="Style7"/>
        <w:numPr>
          <w:ilvl w:val="0"/>
          <w:numId w:val="24"/>
        </w:numPr>
        <w:tabs>
          <w:tab w:val="left" w:pos="475"/>
          <w:tab w:val="left" w:pos="562"/>
        </w:tabs>
        <w:spacing w:after="0"/>
        <w:rPr>
          <w:rStyle w:val="CharStyle8"/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 xml:space="preserve">lokalizacja: </w:t>
      </w:r>
      <w:r w:rsidR="00812DC8" w:rsidRPr="00F90EBF">
        <w:rPr>
          <w:rStyle w:val="CharStyle8"/>
          <w:color w:val="000000"/>
          <w:sz w:val="24"/>
          <w:szCs w:val="24"/>
          <w:lang w:eastAsia="pl-PL"/>
        </w:rPr>
        <w:t xml:space="preserve">Chełmno ul. </w:t>
      </w:r>
      <w:r w:rsidR="009C63A8" w:rsidRPr="00F90EBF">
        <w:rPr>
          <w:rStyle w:val="CharStyle8"/>
          <w:color w:val="000000"/>
          <w:sz w:val="24"/>
          <w:szCs w:val="24"/>
          <w:lang w:eastAsia="pl-PL"/>
        </w:rPr>
        <w:t>Podgórna 9</w:t>
      </w:r>
    </w:p>
    <w:p w14:paraId="045C1E9E" w14:textId="01176D12" w:rsidR="00F435A3" w:rsidRPr="00F90EBF" w:rsidRDefault="003B7A3B" w:rsidP="00F90EBF">
      <w:pPr>
        <w:pStyle w:val="Akapitzlist"/>
        <w:numPr>
          <w:ilvl w:val="0"/>
          <w:numId w:val="28"/>
        </w:numPr>
        <w:spacing w:before="240" w:after="240"/>
        <w:ind w:left="425" w:hanging="357"/>
        <w:rPr>
          <w:rStyle w:val="CharStyle11"/>
          <w:rFonts w:ascii="Arial" w:eastAsiaTheme="minorHAnsi" w:hAnsi="Arial" w:cs="Arial"/>
          <w:b w:val="0"/>
          <w:bCs w:val="0"/>
          <w:sz w:val="24"/>
          <w:szCs w:val="24"/>
        </w:rPr>
      </w:pPr>
      <w:r w:rsidRPr="00F90EBF">
        <w:rPr>
          <w:rStyle w:val="CharStyle11"/>
          <w:rFonts w:ascii="Arial" w:eastAsiaTheme="majorEastAsia" w:hAnsi="Arial" w:cs="Arial"/>
          <w:sz w:val="24"/>
          <w:szCs w:val="24"/>
        </w:rPr>
        <w:t>Szczegółowy zakres prac:</w:t>
      </w:r>
    </w:p>
    <w:p w14:paraId="408704B2" w14:textId="4BCCA17D" w:rsidR="003B7A3B" w:rsidRPr="00F90EBF" w:rsidRDefault="003B7A3B" w:rsidP="00F90EBF">
      <w:pPr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</w:pPr>
      <w:r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>Zakres zamówienia obejmuje:</w:t>
      </w:r>
    </w:p>
    <w:p w14:paraId="16CBFC87" w14:textId="1280B379" w:rsidR="003B7A3B" w:rsidRPr="00F90EBF" w:rsidRDefault="003B7A3B" w:rsidP="00F90EBF">
      <w:pPr>
        <w:pStyle w:val="Akapitzlist"/>
        <w:numPr>
          <w:ilvl w:val="0"/>
          <w:numId w:val="6"/>
        </w:numPr>
        <w:contextualSpacing w:val="0"/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</w:pPr>
      <w:bookmarkStart w:id="0" w:name="_Hlk227154108"/>
      <w:r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>zaprojektowanie i wykonanie na</w:t>
      </w:r>
      <w:r w:rsidR="001B51F5"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 xml:space="preserve"> </w:t>
      </w:r>
      <w:r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>terenie</w:t>
      </w:r>
      <w:r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ab/>
        <w:t>stacji monitoringu wizyjnego,</w:t>
      </w:r>
    </w:p>
    <w:p w14:paraId="2AA3950C" w14:textId="20000D0F" w:rsidR="003B7A3B" w:rsidRPr="00F90EBF" w:rsidRDefault="003B7A3B" w:rsidP="00F90EBF">
      <w:pPr>
        <w:pStyle w:val="Akapitzlist"/>
        <w:numPr>
          <w:ilvl w:val="0"/>
          <w:numId w:val="6"/>
        </w:numPr>
        <w:contextualSpacing w:val="0"/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</w:pPr>
      <w:r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>zaprojektowanie i wykonanie na</w:t>
      </w:r>
      <w:r w:rsidR="001B51F5"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 xml:space="preserve"> </w:t>
      </w:r>
      <w:r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>terenie</w:t>
      </w:r>
      <w:r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ab/>
        <w:t>stacji systemu alarmowego,</w:t>
      </w:r>
    </w:p>
    <w:p w14:paraId="6099A435" w14:textId="6C1D05F1" w:rsidR="003B7A3B" w:rsidRPr="00F90EBF" w:rsidRDefault="003B7A3B" w:rsidP="00F90EBF">
      <w:pPr>
        <w:pStyle w:val="Akapitzlist"/>
        <w:numPr>
          <w:ilvl w:val="0"/>
          <w:numId w:val="6"/>
        </w:numPr>
        <w:contextualSpacing w:val="0"/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</w:pPr>
      <w:r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>zaprojektowanie i wykonanie na</w:t>
      </w:r>
      <w:r w:rsidR="001B51F5"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 xml:space="preserve"> </w:t>
      </w:r>
      <w:r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>terenie</w:t>
      </w:r>
      <w:r w:rsidR="00F435A3"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 xml:space="preserve"> stacji </w:t>
      </w:r>
      <w:r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>kanalizacji teletechnicznej</w:t>
      </w:r>
      <w:r w:rsidR="001B51F5"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>,</w:t>
      </w:r>
    </w:p>
    <w:p w14:paraId="6BA0A8E7" w14:textId="38ABC8B8" w:rsidR="003B7A3B" w:rsidRPr="00F90EBF" w:rsidRDefault="003B7A3B" w:rsidP="00F90EBF">
      <w:pPr>
        <w:pStyle w:val="Akapitzlist"/>
        <w:numPr>
          <w:ilvl w:val="0"/>
          <w:numId w:val="6"/>
        </w:numPr>
        <w:spacing w:after="240"/>
        <w:ind w:left="714" w:hanging="357"/>
        <w:contextualSpacing w:val="0"/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</w:pPr>
      <w:r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>dostawa i montaż na terenie stacji tablic informacyjnych</w:t>
      </w:r>
      <w:r w:rsidR="00EB0490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 xml:space="preserve"> (1szt)</w:t>
      </w:r>
      <w:r w:rsidRPr="00F90EBF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 xml:space="preserve"> i ostrzegawczych</w:t>
      </w:r>
      <w:bookmarkEnd w:id="0"/>
      <w:r w:rsidR="00EB0490">
        <w:rPr>
          <w:rStyle w:val="CharStyle11"/>
          <w:rFonts w:ascii="Arial" w:eastAsiaTheme="majorEastAsia" w:hAnsi="Arial" w:cs="Arial"/>
          <w:b w:val="0"/>
          <w:bCs w:val="0"/>
          <w:sz w:val="24"/>
          <w:szCs w:val="24"/>
        </w:rPr>
        <w:t xml:space="preserve"> (1szt).</w:t>
      </w:r>
    </w:p>
    <w:p w14:paraId="468F523F" w14:textId="77777777" w:rsidR="003B7A3B" w:rsidRPr="00F90EBF" w:rsidRDefault="003B7A3B" w:rsidP="00F90EBF">
      <w:pPr>
        <w:pStyle w:val="Style10"/>
        <w:keepNext/>
        <w:keepLines/>
        <w:spacing w:after="120"/>
        <w:rPr>
          <w:b w:val="0"/>
          <w:bCs w:val="0"/>
          <w:sz w:val="24"/>
          <w:szCs w:val="24"/>
        </w:rPr>
      </w:pPr>
      <w:bookmarkStart w:id="1" w:name="bookmark2"/>
      <w:r w:rsidRPr="00F90EBF">
        <w:rPr>
          <w:rStyle w:val="CharStyle11"/>
          <w:b/>
          <w:bCs/>
          <w:color w:val="000000"/>
          <w:sz w:val="24"/>
          <w:szCs w:val="24"/>
          <w:u w:val="single"/>
          <w:lang w:eastAsia="pl-PL"/>
        </w:rPr>
        <w:t>Wymagania dotyczące zastosowanych urządzeń i komponentów systemów zabezpieczeń technicznych:</w:t>
      </w:r>
      <w:bookmarkEnd w:id="1"/>
    </w:p>
    <w:p w14:paraId="03531A93" w14:textId="75C75530" w:rsidR="003B7A3B" w:rsidRPr="00F90EBF" w:rsidRDefault="003B7A3B" w:rsidP="00F90EBF">
      <w:pPr>
        <w:pStyle w:val="Style7"/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Z uwagi na obowiązujące w organizacji Zamawiającego wewnętrzne standardy techniczne oraz politykę unifikacji infrastruktury zabezpieczeń, Wykonawca zobowiązany jest do zastosowania wyłącznie urządzeń i komponentów, które są wymienione poniżej. Dotyczy to kamer przemysłowych, rejestratorów wizyjnych (NVR), central alarmowych, urządzeń transmisyjnych, elementów systemów zasilania awaryjnego oraz urządzeń wykonawczych systemów alarmowych.</w:t>
      </w:r>
    </w:p>
    <w:p w14:paraId="262F369F" w14:textId="7CAAB13A" w:rsidR="003B7A3B" w:rsidRPr="00F90EBF" w:rsidRDefault="003B7A3B" w:rsidP="00F90EBF">
      <w:pPr>
        <w:pStyle w:val="Style7"/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Specyfikacja techniczna wskazanych urządzeń musi odpowiadać wymaganym funkcjonalnościom oraz zapewniać pełną kompatybilność z już wdrożonymi systemami centralnego nadzoru, transmisji danych i archiwizacji materiału wizyjnego. Wykonawca zobowiązany jest do bezwzględnego stosowania wskazanych przez Zamawiającego producentów, modeli oraz wersji oprogramowania, zgodnie z wymaganiami szczegółowymi przedstawionymi poniżej.</w:t>
      </w:r>
    </w:p>
    <w:p w14:paraId="7C4F3499" w14:textId="77777777" w:rsidR="003B7A3B" w:rsidRPr="00F90EBF" w:rsidRDefault="003B7A3B" w:rsidP="00F90EBF">
      <w:pPr>
        <w:pStyle w:val="Style7"/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W przypadku jakiejkolwiek planowanej modyfikacji, zamiennika lub aktualizacji wersji urządzenia,</w:t>
      </w:r>
      <w:r w:rsidRPr="00F90EBF">
        <w:rPr>
          <w:sz w:val="24"/>
          <w:szCs w:val="24"/>
        </w:rPr>
        <w:t xml:space="preserve"> Wykonawca</w:t>
      </w:r>
      <w:r w:rsidRPr="00F90EBF">
        <w:rPr>
          <w:rStyle w:val="CharStyle8"/>
          <w:color w:val="000000"/>
          <w:sz w:val="24"/>
          <w:szCs w:val="24"/>
          <w:lang w:eastAsia="pl-PL"/>
        </w:rPr>
        <w:t xml:space="preserve"> zobowiązany jest każdorazowo do uzyskania pisemnej akceptacji Zamawiającego. Brak zgodności zastosowanych urządzeń z przyjętym standardem będzie traktowany jako istotne naruszenie warunków realizacji zamówienia.</w:t>
      </w:r>
    </w:p>
    <w:p w14:paraId="05A1C354" w14:textId="77777777" w:rsidR="003B7A3B" w:rsidRPr="00F90EBF" w:rsidRDefault="003B7A3B" w:rsidP="00F90EBF">
      <w:pPr>
        <w:pStyle w:val="Style7"/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System alarmowy i monitoringu wizyjnego należy wykonać zgodnie z obowiązującymi przepisami prawa, normami oraz wytycznymi technicznymi, a w szczególności z:</w:t>
      </w:r>
    </w:p>
    <w:p w14:paraId="29CF16CE" w14:textId="77777777" w:rsidR="003B7A3B" w:rsidRPr="00F90EBF" w:rsidRDefault="003B7A3B" w:rsidP="00F90EBF">
      <w:pPr>
        <w:pStyle w:val="Bezodstpw"/>
        <w:numPr>
          <w:ilvl w:val="0"/>
          <w:numId w:val="15"/>
        </w:numPr>
        <w:spacing w:before="60" w:after="60"/>
        <w:ind w:left="714" w:hanging="357"/>
        <w:rPr>
          <w:rFonts w:ascii="Arial" w:hAnsi="Arial" w:cs="Arial"/>
        </w:rPr>
      </w:pPr>
      <w:r w:rsidRPr="00F90EBF">
        <w:rPr>
          <w:rStyle w:val="CharStyle8"/>
          <w:rFonts w:ascii="Arial" w:eastAsiaTheme="majorEastAsia" w:hAnsi="Arial" w:cs="Arial"/>
          <w:sz w:val="24"/>
          <w:szCs w:val="24"/>
        </w:rPr>
        <w:t>PN-EN 50131 (wszystkie obowiązujące części),</w:t>
      </w:r>
    </w:p>
    <w:p w14:paraId="08AA938A" w14:textId="77777777" w:rsidR="003B7A3B" w:rsidRPr="00F90EBF" w:rsidRDefault="003B7A3B" w:rsidP="00F90EBF">
      <w:pPr>
        <w:pStyle w:val="Bezodstpw"/>
        <w:numPr>
          <w:ilvl w:val="0"/>
          <w:numId w:val="15"/>
        </w:numPr>
        <w:spacing w:before="60" w:after="60"/>
        <w:ind w:left="714" w:hanging="357"/>
        <w:rPr>
          <w:rFonts w:ascii="Arial" w:hAnsi="Arial" w:cs="Arial"/>
        </w:rPr>
      </w:pPr>
      <w:r w:rsidRPr="00F90EBF">
        <w:rPr>
          <w:rStyle w:val="CharStyle8"/>
          <w:rFonts w:ascii="Arial" w:eastAsiaTheme="majorEastAsia" w:hAnsi="Arial" w:cs="Arial"/>
          <w:sz w:val="24"/>
          <w:szCs w:val="24"/>
        </w:rPr>
        <w:t>PN-EN 50136 (w zakresie transmisji alarmu),</w:t>
      </w:r>
    </w:p>
    <w:p w14:paraId="51CEB4FC" w14:textId="054779BD" w:rsidR="003B7A3B" w:rsidRPr="00F90EBF" w:rsidRDefault="003B7A3B" w:rsidP="00F90EBF">
      <w:pPr>
        <w:pStyle w:val="Bezodstpw"/>
        <w:numPr>
          <w:ilvl w:val="0"/>
          <w:numId w:val="15"/>
        </w:numPr>
        <w:spacing w:before="60" w:after="60"/>
        <w:ind w:left="714" w:hanging="357"/>
        <w:rPr>
          <w:rStyle w:val="CharStyle8"/>
          <w:rFonts w:ascii="Arial" w:eastAsiaTheme="majorEastAsia" w:hAnsi="Arial" w:cs="Arial"/>
          <w:sz w:val="24"/>
          <w:szCs w:val="24"/>
        </w:rPr>
      </w:pPr>
      <w:r w:rsidRPr="00F90EBF">
        <w:rPr>
          <w:rStyle w:val="CharStyle8"/>
          <w:rFonts w:ascii="Arial" w:eastAsiaTheme="majorEastAsia" w:hAnsi="Arial" w:cs="Arial"/>
          <w:sz w:val="24"/>
          <w:szCs w:val="24"/>
        </w:rPr>
        <w:t xml:space="preserve">PN-HD 60364 (w zakresie instalacji elektrycznych), </w:t>
      </w:r>
    </w:p>
    <w:p w14:paraId="020205E3" w14:textId="77777777" w:rsidR="003B7A3B" w:rsidRPr="00F90EBF" w:rsidRDefault="003B7A3B" w:rsidP="00F90EBF">
      <w:pPr>
        <w:pStyle w:val="Style7"/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oraz aktualnymi wytycznymi producentów zastosowanych urządzeń, zasadami wiedzy technicznej i sztuki instalatorskiej. Instalacja powinna zostać wykonana przez osoby posiadające odpowiednie kwalifikacje i uprawnienia, tj. wpis na listę kwalifikowanych pracowników zabezpieczenia technicznego.</w:t>
      </w:r>
    </w:p>
    <w:p w14:paraId="66ED89B4" w14:textId="221605B4" w:rsidR="001B51F5" w:rsidRPr="00F90EBF" w:rsidRDefault="003B7A3B" w:rsidP="00F90EBF">
      <w:pPr>
        <w:pStyle w:val="Style7"/>
        <w:spacing w:after="240"/>
        <w:rPr>
          <w:rStyle w:val="CharStyle8"/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Należy zaprojektować położenie elementów systemów bezpieczeństwa poza strefą zagrożenia wybuchem.</w:t>
      </w:r>
    </w:p>
    <w:p w14:paraId="34CB8C0C" w14:textId="01B3B9DA" w:rsidR="003B7A3B" w:rsidRPr="00F90EBF" w:rsidRDefault="003B7A3B" w:rsidP="00F90EBF">
      <w:pPr>
        <w:pStyle w:val="Style7"/>
        <w:spacing w:after="0"/>
        <w:rPr>
          <w:sz w:val="24"/>
          <w:szCs w:val="24"/>
        </w:rPr>
      </w:pPr>
      <w:r w:rsidRPr="00F90EBF">
        <w:rPr>
          <w:rStyle w:val="CharStyle8"/>
          <w:b/>
          <w:bCs/>
          <w:color w:val="000000"/>
          <w:sz w:val="24"/>
          <w:szCs w:val="24"/>
          <w:u w:val="single"/>
          <w:lang w:eastAsia="pl-PL"/>
        </w:rPr>
        <w:t>Wymagania dotyczące monitoringu wizyjnego:</w:t>
      </w:r>
    </w:p>
    <w:p w14:paraId="7FC87DB3" w14:textId="77777777" w:rsidR="003B7A3B" w:rsidRPr="00F90EBF" w:rsidRDefault="003B7A3B" w:rsidP="00F90EBF">
      <w:pPr>
        <w:pStyle w:val="Style7"/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Wymienione urządzenia zgodne z modelami dopuszczonymi do stosowania przez Zamawiającego:</w:t>
      </w:r>
    </w:p>
    <w:p w14:paraId="498B37F5" w14:textId="77777777" w:rsidR="003B7A3B" w:rsidRPr="00F90EBF" w:rsidRDefault="003B7A3B" w:rsidP="00F90EBF">
      <w:pPr>
        <w:pStyle w:val="Style7"/>
        <w:numPr>
          <w:ilvl w:val="0"/>
          <w:numId w:val="16"/>
        </w:numPr>
        <w:tabs>
          <w:tab w:val="left" w:pos="416"/>
        </w:tabs>
        <w:spacing w:before="60" w:after="60"/>
        <w:ind w:left="714" w:hanging="357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lastRenderedPageBreak/>
        <w:t>Kamery zewnętrzne o zmiennej ogniskowej - AXIS Q1806-LE,</w:t>
      </w:r>
    </w:p>
    <w:p w14:paraId="7CEE9CA0" w14:textId="2DD5E161" w:rsidR="003B7A3B" w:rsidRPr="00F90EBF" w:rsidRDefault="003B7A3B" w:rsidP="00F90EBF">
      <w:pPr>
        <w:pStyle w:val="Style7"/>
        <w:numPr>
          <w:ilvl w:val="0"/>
          <w:numId w:val="16"/>
        </w:numPr>
        <w:tabs>
          <w:tab w:val="left" w:pos="432"/>
          <w:tab w:val="left" w:pos="3924"/>
        </w:tabs>
        <w:spacing w:before="60" w:after="60"/>
        <w:ind w:left="714" w:hanging="357"/>
        <w:rPr>
          <w:sz w:val="24"/>
          <w:szCs w:val="24"/>
          <w:lang w:val="en-US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Urządzenie rejestrujące -</w:t>
      </w:r>
      <w:r w:rsidR="00831046" w:rsidRPr="00F90EBF">
        <w:rPr>
          <w:rStyle w:val="CharStyle8"/>
          <w:color w:val="000000"/>
          <w:sz w:val="24"/>
          <w:szCs w:val="24"/>
          <w:lang w:eastAsia="pl-PL"/>
        </w:rPr>
        <w:t xml:space="preserve"> </w:t>
      </w:r>
      <w:r w:rsidR="00332AD9" w:rsidRPr="00F90EBF">
        <w:rPr>
          <w:sz w:val="24"/>
          <w:szCs w:val="24"/>
          <w:lang w:val="en-US"/>
        </w:rPr>
        <w:t>EST-C104TGL-NVR</w:t>
      </w:r>
      <w:r w:rsidR="00564C68" w:rsidRPr="00F90EBF">
        <w:rPr>
          <w:sz w:val="24"/>
          <w:szCs w:val="24"/>
          <w:lang w:val="en-US"/>
        </w:rPr>
        <w:t>,</w:t>
      </w:r>
    </w:p>
    <w:p w14:paraId="68FB922B" w14:textId="4858272B" w:rsidR="003B7A3B" w:rsidRPr="00F90EBF" w:rsidRDefault="003B7A3B" w:rsidP="00F90EBF">
      <w:pPr>
        <w:pStyle w:val="Style7"/>
        <w:numPr>
          <w:ilvl w:val="0"/>
          <w:numId w:val="16"/>
        </w:numPr>
        <w:tabs>
          <w:tab w:val="left" w:pos="432"/>
        </w:tabs>
        <w:spacing w:before="60" w:after="60"/>
        <w:ind w:left="714" w:hanging="357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Switch PoE – Moxa seria EDS 16 portów</w:t>
      </w:r>
      <w:r w:rsidR="003A14F4" w:rsidRPr="00F90EBF">
        <w:rPr>
          <w:rStyle w:val="CharStyle8"/>
          <w:color w:val="000000"/>
          <w:sz w:val="24"/>
          <w:szCs w:val="24"/>
          <w:lang w:eastAsia="pl-PL"/>
        </w:rPr>
        <w:t>,</w:t>
      </w:r>
    </w:p>
    <w:p w14:paraId="16237921" w14:textId="77777777" w:rsidR="003B7A3B" w:rsidRPr="00F90EBF" w:rsidRDefault="003B7A3B" w:rsidP="00F90EBF">
      <w:pPr>
        <w:pStyle w:val="Style7"/>
        <w:numPr>
          <w:ilvl w:val="0"/>
          <w:numId w:val="16"/>
        </w:numPr>
        <w:tabs>
          <w:tab w:val="left" w:pos="432"/>
        </w:tabs>
        <w:spacing w:before="60" w:after="60"/>
        <w:ind w:left="714" w:hanging="357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 xml:space="preserve">Licencje Genetec: </w:t>
      </w:r>
    </w:p>
    <w:p w14:paraId="7ACDA96F" w14:textId="77777777" w:rsidR="00F90EBF" w:rsidRDefault="003B7A3B" w:rsidP="00F90EBF">
      <w:pPr>
        <w:pStyle w:val="Style7"/>
        <w:numPr>
          <w:ilvl w:val="0"/>
          <w:numId w:val="2"/>
        </w:numPr>
        <w:tabs>
          <w:tab w:val="left" w:pos="750"/>
        </w:tabs>
        <w:spacing w:after="0"/>
        <w:ind w:firstLine="567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GSC-BASE-S po 1 szt. na urządzenie rejestrujące,</w:t>
      </w:r>
    </w:p>
    <w:p w14:paraId="574D48E8" w14:textId="77777777" w:rsidR="00F90EBF" w:rsidRDefault="003B7A3B" w:rsidP="00F90EBF">
      <w:pPr>
        <w:pStyle w:val="Style7"/>
        <w:numPr>
          <w:ilvl w:val="0"/>
          <w:numId w:val="2"/>
        </w:numPr>
        <w:tabs>
          <w:tab w:val="left" w:pos="739"/>
        </w:tabs>
        <w:spacing w:after="0"/>
        <w:ind w:firstLine="567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GSC-Om-S-1C po 1 szt. na kamerę,</w:t>
      </w:r>
    </w:p>
    <w:p w14:paraId="79C9376B" w14:textId="446E5204" w:rsidR="003B7A3B" w:rsidRPr="00F90EBF" w:rsidRDefault="003B7A3B" w:rsidP="00CB6729">
      <w:pPr>
        <w:pStyle w:val="Style7"/>
        <w:numPr>
          <w:ilvl w:val="0"/>
          <w:numId w:val="2"/>
        </w:numPr>
        <w:tabs>
          <w:tab w:val="left" w:pos="739"/>
        </w:tabs>
        <w:spacing w:after="120"/>
        <w:ind w:firstLine="567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GSC-1SCFED – po 1 szt. na urządzenie rejestrujące.</w:t>
      </w:r>
    </w:p>
    <w:p w14:paraId="47FA7383" w14:textId="41E58D27" w:rsidR="00F435A3" w:rsidRPr="00F90EBF" w:rsidRDefault="003B7A3B" w:rsidP="00CB6729">
      <w:pPr>
        <w:pStyle w:val="Style7"/>
        <w:spacing w:after="240"/>
        <w:rPr>
          <w:color w:val="000000"/>
          <w:sz w:val="24"/>
          <w:szCs w:val="24"/>
          <w:lang w:eastAsia="pl-PL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 xml:space="preserve">Należy zaprojektować </w:t>
      </w:r>
      <w:r w:rsidR="0040213F" w:rsidRPr="00F90EBF">
        <w:rPr>
          <w:rStyle w:val="CharStyle8"/>
          <w:color w:val="000000"/>
          <w:sz w:val="24"/>
          <w:szCs w:val="24"/>
          <w:lang w:eastAsia="pl-PL"/>
        </w:rPr>
        <w:t>pięć</w:t>
      </w:r>
      <w:r w:rsidRPr="00F90EBF">
        <w:rPr>
          <w:rStyle w:val="CharStyle8"/>
          <w:color w:val="000000"/>
          <w:sz w:val="24"/>
          <w:szCs w:val="24"/>
          <w:lang w:eastAsia="pl-PL"/>
        </w:rPr>
        <w:t xml:space="preserve"> kamer mieszczących się w czterech punktach bliskich narożników ogrodzenia. Cztery kamery powinny monitorować maksymalną możliwą powierzchnię wewnątrz ogrodzenia, natomiast pozostałe dwie powinny monitorować plac manewrowy</w:t>
      </w:r>
      <w:r w:rsidR="00831046" w:rsidRPr="00F90EBF">
        <w:rPr>
          <w:rStyle w:val="CharStyle8"/>
          <w:color w:val="000000"/>
          <w:sz w:val="24"/>
          <w:szCs w:val="24"/>
          <w:lang w:eastAsia="pl-PL"/>
        </w:rPr>
        <w:t xml:space="preserve">, </w:t>
      </w:r>
      <w:r w:rsidRPr="00F90EBF">
        <w:rPr>
          <w:rStyle w:val="CharStyle8"/>
          <w:color w:val="000000"/>
          <w:sz w:val="24"/>
          <w:szCs w:val="24"/>
          <w:lang w:eastAsia="pl-PL"/>
        </w:rPr>
        <w:t xml:space="preserve">uwzględniając widok jednej z nich na </w:t>
      </w:r>
      <w:r w:rsidR="00831046" w:rsidRPr="00F90EBF">
        <w:rPr>
          <w:rStyle w:val="CharStyle8"/>
          <w:color w:val="000000"/>
          <w:sz w:val="24"/>
          <w:szCs w:val="24"/>
          <w:lang w:eastAsia="pl-PL"/>
        </w:rPr>
        <w:t>wejście/wjazd na stacje</w:t>
      </w:r>
      <w:r w:rsidRPr="00F90EBF">
        <w:rPr>
          <w:rStyle w:val="CharStyle8"/>
          <w:color w:val="000000"/>
          <w:sz w:val="24"/>
          <w:szCs w:val="24"/>
          <w:lang w:eastAsia="pl-PL"/>
        </w:rPr>
        <w:t>. Wysokość montażu kamer między 2,8m a 3,2m.</w:t>
      </w:r>
    </w:p>
    <w:p w14:paraId="32A18B86" w14:textId="77777777" w:rsidR="003B7A3B" w:rsidRPr="00F90EBF" w:rsidRDefault="003B7A3B" w:rsidP="00CB6729">
      <w:pPr>
        <w:pStyle w:val="Style10"/>
        <w:keepNext/>
        <w:keepLines/>
        <w:spacing w:after="60"/>
        <w:rPr>
          <w:b w:val="0"/>
          <w:bCs w:val="0"/>
          <w:sz w:val="24"/>
          <w:szCs w:val="24"/>
        </w:rPr>
      </w:pPr>
      <w:bookmarkStart w:id="2" w:name="bookmark4"/>
      <w:r w:rsidRPr="00F90EBF">
        <w:rPr>
          <w:rStyle w:val="CharStyle11"/>
          <w:b/>
          <w:bCs/>
          <w:color w:val="000000"/>
          <w:sz w:val="24"/>
          <w:szCs w:val="24"/>
          <w:u w:val="single"/>
          <w:lang w:eastAsia="pl-PL"/>
        </w:rPr>
        <w:t>Wymagania dotyczące systemu alarmowego:</w:t>
      </w:r>
      <w:bookmarkEnd w:id="2"/>
    </w:p>
    <w:p w14:paraId="7A726B58" w14:textId="77777777" w:rsidR="003B7A3B" w:rsidRPr="00F90EBF" w:rsidRDefault="003B7A3B" w:rsidP="00F90EBF">
      <w:pPr>
        <w:pStyle w:val="Style7"/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Wymienione urządzenia zgodne z modelami dopuszczonymi do stosowania przez Zamawiającego:</w:t>
      </w:r>
    </w:p>
    <w:p w14:paraId="128CFCBE" w14:textId="77777777" w:rsidR="003B7A3B" w:rsidRPr="00F90EBF" w:rsidRDefault="003B7A3B" w:rsidP="00F90EBF">
      <w:pPr>
        <w:pStyle w:val="Style7"/>
        <w:numPr>
          <w:ilvl w:val="0"/>
          <w:numId w:val="17"/>
        </w:numPr>
        <w:spacing w:before="60" w:after="6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centrala Satel Integra 128 PLUS,</w:t>
      </w:r>
    </w:p>
    <w:p w14:paraId="45C8BC8C" w14:textId="16FC3B61" w:rsidR="003B7A3B" w:rsidRPr="00F90EBF" w:rsidRDefault="003B7A3B" w:rsidP="00F90EBF">
      <w:pPr>
        <w:pStyle w:val="Style7"/>
        <w:numPr>
          <w:ilvl w:val="0"/>
          <w:numId w:val="17"/>
        </w:numPr>
        <w:spacing w:before="60" w:after="6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akumulator Europower 17Ah 12V</w:t>
      </w:r>
      <w:r w:rsidR="00803245" w:rsidRPr="00F90EBF">
        <w:rPr>
          <w:rStyle w:val="CharStyle8"/>
          <w:color w:val="000000"/>
          <w:sz w:val="24"/>
          <w:szCs w:val="24"/>
          <w:lang w:eastAsia="pl-PL"/>
        </w:rPr>
        <w:t>,</w:t>
      </w:r>
    </w:p>
    <w:p w14:paraId="40F61130" w14:textId="77777777" w:rsidR="003B7A3B" w:rsidRPr="00F90EBF" w:rsidRDefault="003B7A3B" w:rsidP="00F90EBF">
      <w:pPr>
        <w:pStyle w:val="Style7"/>
        <w:numPr>
          <w:ilvl w:val="0"/>
          <w:numId w:val="17"/>
        </w:numPr>
        <w:spacing w:before="60" w:after="6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moduł komunikacyjny Satel ETHM-1 Plus,</w:t>
      </w:r>
    </w:p>
    <w:p w14:paraId="3AFE3F78" w14:textId="77777777" w:rsidR="003B7A3B" w:rsidRPr="00F90EBF" w:rsidRDefault="003B7A3B" w:rsidP="00F90EBF">
      <w:pPr>
        <w:pStyle w:val="Style7"/>
        <w:numPr>
          <w:ilvl w:val="0"/>
          <w:numId w:val="17"/>
        </w:numPr>
        <w:spacing w:before="60" w:after="6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manipulator Satel INT-KLCD,</w:t>
      </w:r>
    </w:p>
    <w:p w14:paraId="46D5C10D" w14:textId="77777777" w:rsidR="003B7A3B" w:rsidRPr="00F90EBF" w:rsidRDefault="003B7A3B" w:rsidP="00F90EBF">
      <w:pPr>
        <w:pStyle w:val="Style7"/>
        <w:numPr>
          <w:ilvl w:val="0"/>
          <w:numId w:val="17"/>
        </w:numPr>
        <w:spacing w:before="60" w:after="6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strefowy zewnętrzny manipulator Satel INT-SCR-BL,</w:t>
      </w:r>
    </w:p>
    <w:p w14:paraId="0C3EE075" w14:textId="47F018C1" w:rsidR="003B7A3B" w:rsidRPr="00F90EBF" w:rsidRDefault="003B7A3B" w:rsidP="00F90EBF">
      <w:pPr>
        <w:pStyle w:val="Style7"/>
        <w:numPr>
          <w:ilvl w:val="0"/>
          <w:numId w:val="17"/>
        </w:numPr>
        <w:spacing w:before="60" w:after="6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kontaktron do zamontowania na furtce wejściowej zabezpieczony przed manipulacją magnetyczną zgodnie z EN 50131-2-6 na poziomie Grade 3, (wymagana obecność układu detekcji pola magnetycznego (anti-masking)</w:t>
      </w:r>
      <w:r w:rsidR="001B51F5" w:rsidRPr="00F90EBF">
        <w:rPr>
          <w:rStyle w:val="CharStyle8"/>
          <w:color w:val="000000"/>
          <w:sz w:val="24"/>
          <w:szCs w:val="24"/>
          <w:lang w:eastAsia="pl-PL"/>
        </w:rPr>
        <w:t>)</w:t>
      </w:r>
      <w:r w:rsidR="00803245" w:rsidRPr="00F90EBF">
        <w:rPr>
          <w:rStyle w:val="CharStyle8"/>
          <w:color w:val="000000"/>
          <w:sz w:val="24"/>
          <w:szCs w:val="24"/>
          <w:lang w:eastAsia="pl-PL"/>
        </w:rPr>
        <w:t>,</w:t>
      </w:r>
    </w:p>
    <w:p w14:paraId="72034EC7" w14:textId="77777777" w:rsidR="00F435A3" w:rsidRPr="00F90EBF" w:rsidRDefault="003B7A3B" w:rsidP="00F90EBF">
      <w:pPr>
        <w:pStyle w:val="Style7"/>
        <w:numPr>
          <w:ilvl w:val="0"/>
          <w:numId w:val="17"/>
        </w:numPr>
        <w:spacing w:before="60" w:after="6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elementy systemu, takie jak centrala rozszerzenia, moduły komunikacyjne, należy zamontować   w obudowie typu Pulsar ARAD-S.</w:t>
      </w:r>
    </w:p>
    <w:p w14:paraId="19A549C2" w14:textId="449061C3" w:rsidR="003B7A3B" w:rsidRPr="00F90EBF" w:rsidRDefault="003B7A3B" w:rsidP="00CB6729">
      <w:pPr>
        <w:pStyle w:val="Style7"/>
        <w:spacing w:after="24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Należy zaprojektować podłączenie kontaktronu na furtce</w:t>
      </w:r>
      <w:r w:rsidR="001B51F5" w:rsidRPr="00F90EBF">
        <w:rPr>
          <w:rStyle w:val="CharStyle8"/>
          <w:color w:val="000000"/>
          <w:sz w:val="24"/>
          <w:szCs w:val="24"/>
          <w:lang w:eastAsia="pl-PL"/>
        </w:rPr>
        <w:t xml:space="preserve"> </w:t>
      </w:r>
      <w:r w:rsidRPr="00F90EBF">
        <w:rPr>
          <w:rStyle w:val="CharStyle8"/>
          <w:color w:val="000000"/>
          <w:sz w:val="24"/>
          <w:szCs w:val="24"/>
          <w:lang w:eastAsia="pl-PL"/>
        </w:rPr>
        <w:t>do centrali alarmowej. Przy furtce od wewnętrznej strony manipulator strefowy do rozbrajania strefy (INT- SCR-BL), zamontowany w sposób uniemożliwiający jego dosięgnięcie. Okablowanie każdego elementu systemu alarmowego znajdującego się przy furtce musi być poprowadzone w sposób uniemożliwiający manipulację i przecięcie. Manipulator INT-KLCD należy umieścić w szafie przy centrali alarmowej.</w:t>
      </w:r>
    </w:p>
    <w:p w14:paraId="4C898CD9" w14:textId="77777777" w:rsidR="003B7A3B" w:rsidRPr="00F90EBF" w:rsidRDefault="003B7A3B" w:rsidP="00CB6729">
      <w:pPr>
        <w:pStyle w:val="Style10"/>
        <w:keepNext/>
        <w:keepLines/>
        <w:spacing w:after="60"/>
        <w:rPr>
          <w:b w:val="0"/>
          <w:bCs w:val="0"/>
          <w:sz w:val="24"/>
          <w:szCs w:val="24"/>
        </w:rPr>
      </w:pPr>
      <w:bookmarkStart w:id="3" w:name="bookmark6"/>
      <w:r w:rsidRPr="00F90EBF">
        <w:rPr>
          <w:rStyle w:val="CharStyle11"/>
          <w:b/>
          <w:bCs/>
          <w:color w:val="000000"/>
          <w:sz w:val="24"/>
          <w:szCs w:val="24"/>
          <w:u w:val="single"/>
          <w:lang w:eastAsia="pl-PL"/>
        </w:rPr>
        <w:t>Wymagania dotyczące obudowy technicznej:</w:t>
      </w:r>
      <w:bookmarkEnd w:id="3"/>
    </w:p>
    <w:p w14:paraId="53ED3DAB" w14:textId="77777777" w:rsidR="003B7A3B" w:rsidRPr="00F90EBF" w:rsidRDefault="003B7A3B" w:rsidP="00F90EBF">
      <w:pPr>
        <w:pStyle w:val="Style7"/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Umiejscowienie urządzeń centrali alarmowej oraz urządzenia rejestrującego wraz z niezbędnymi podzespołami, UPS i routerem komunikacyjnym przewidziane jest w osobnej obudowie umieszczonej poza strefą wybuchu.</w:t>
      </w:r>
    </w:p>
    <w:p w14:paraId="4F63A4FC" w14:textId="77777777" w:rsidR="003B7A3B" w:rsidRPr="00F90EBF" w:rsidRDefault="003B7A3B" w:rsidP="00F90EBF">
      <w:pPr>
        <w:pStyle w:val="Style7"/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Wykonawca zobowiązany jest dostarczyć i zamontować zewnętrzną szafę techniczną na prefabrykowanym postumencie betonowym, przeznaczoną do pracy w warunkach zewnętrznych na terenie stacji gazowej. Obudowa powinna spełniać poniższe wymagania:</w:t>
      </w:r>
    </w:p>
    <w:p w14:paraId="1A1EB5BB" w14:textId="77777777" w:rsid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wymiary wewnętrzne: min. 800 × 600 × 800 mm (lub zgodnie z wymogami dla zabudowy planowanych urządzeń),</w:t>
      </w:r>
    </w:p>
    <w:p w14:paraId="221B89B3" w14:textId="77777777" w:rsid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materiał: blacha stalowa nierdzewna (np. AISI 304) lub aluminium malowane proszkowo, z powłoką odporną na UV i korozję,</w:t>
      </w:r>
    </w:p>
    <w:p w14:paraId="1FDE9861" w14:textId="77777777" w:rsid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stopień ochrony: min. IP55 (zalecane IP65) wg PN-EN 60529,</w:t>
      </w:r>
    </w:p>
    <w:p w14:paraId="30B01D6D" w14:textId="77777777" w:rsid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lastRenderedPageBreak/>
        <w:t>klasa odporności mechanicznej: min. IK10 wg PN-EN 62262,</w:t>
      </w:r>
    </w:p>
    <w:p w14:paraId="50C4E789" w14:textId="77777777" w:rsid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obudowa klimatyzowana,</w:t>
      </w:r>
    </w:p>
    <w:p w14:paraId="4C516D4C" w14:textId="77777777" w:rsid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rStyle w:val="CharStyle8"/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drzwi jednoskrzydłowe zamykane na zamek trzypunktowy, wyposażone w uszczelkę kompresyjną,</w:t>
      </w:r>
    </w:p>
    <w:p w14:paraId="67B61AFF" w14:textId="77777777" w:rsid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dodatkowe drzwi umożliwiające dostęp od tyłu</w:t>
      </w:r>
      <w:r w:rsidR="00803245" w:rsidRPr="00F90EBF">
        <w:rPr>
          <w:rStyle w:val="CharStyle8"/>
          <w:color w:val="000000"/>
          <w:sz w:val="24"/>
          <w:szCs w:val="24"/>
          <w:lang w:eastAsia="pl-PL"/>
        </w:rPr>
        <w:t>,</w:t>
      </w:r>
    </w:p>
    <w:p w14:paraId="457DD8FA" w14:textId="77777777" w:rsid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montaż na prefabrykowanym postumencie betonowym (min. 80 cm wysokości) z możliwością kotwienia do fundamentu,</w:t>
      </w:r>
    </w:p>
    <w:p w14:paraId="4CCC0B63" w14:textId="77777777" w:rsid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możliwość montażu wewnętrznych szyn DIN, płyt montażowych oraz uchwytów do organizacji</w:t>
      </w:r>
      <w:r w:rsidR="00803245" w:rsidRPr="00F90EBF">
        <w:rPr>
          <w:rStyle w:val="CharStyle8"/>
          <w:color w:val="000000"/>
          <w:sz w:val="24"/>
          <w:szCs w:val="24"/>
          <w:lang w:eastAsia="pl-PL"/>
        </w:rPr>
        <w:t xml:space="preserve"> </w:t>
      </w:r>
      <w:r w:rsidRPr="00F90EBF">
        <w:rPr>
          <w:rStyle w:val="CharStyle8"/>
          <w:color w:val="000000"/>
          <w:sz w:val="24"/>
          <w:szCs w:val="24"/>
          <w:lang w:eastAsia="pl-PL"/>
        </w:rPr>
        <w:t>okablowania, obudowa przystosowana do instalacji: rejestratora monitoringu, centrali alarmowej, zasilacza UPS, itp., w przypadku zastosowania klimatyzatora jednostopniowego obudowa musi być wyposażona w element grzewczy z termostatem, który zabezpieczy pracę urządzeń elektronicznych w warunkach spadku temperatury poniżej 0°C,</w:t>
      </w:r>
      <w:r w:rsidRPr="00F90EBF">
        <w:rPr>
          <w:sz w:val="24"/>
          <w:szCs w:val="24"/>
        </w:rPr>
        <w:t xml:space="preserve"> </w:t>
      </w:r>
      <w:r w:rsidRPr="00F90EBF">
        <w:rPr>
          <w:rStyle w:val="CharStyle8"/>
          <w:color w:val="000000"/>
          <w:sz w:val="24"/>
          <w:szCs w:val="24"/>
          <w:lang w:eastAsia="pl-PL"/>
        </w:rPr>
        <w:t>minimalna moc grzewcza: 20–30 W/m², temperatura załączenia: ok. +5°C, temperatura</w:t>
      </w:r>
      <w:r w:rsidRPr="00F90EBF">
        <w:rPr>
          <w:sz w:val="24"/>
          <w:szCs w:val="24"/>
        </w:rPr>
        <w:t xml:space="preserve"> </w:t>
      </w:r>
      <w:r w:rsidRPr="00F90EBF">
        <w:rPr>
          <w:rStyle w:val="CharStyle8"/>
          <w:color w:val="000000"/>
          <w:sz w:val="24"/>
          <w:szCs w:val="24"/>
          <w:lang w:eastAsia="pl-PL"/>
        </w:rPr>
        <w:t>wyłączenia: ok. +15°C,</w:t>
      </w:r>
      <w:r w:rsidRPr="00F90EBF">
        <w:rPr>
          <w:sz w:val="24"/>
          <w:szCs w:val="24"/>
        </w:rPr>
        <w:t xml:space="preserve"> </w:t>
      </w:r>
      <w:r w:rsidRPr="00F90EBF">
        <w:rPr>
          <w:rStyle w:val="CharStyle8"/>
          <w:color w:val="000000"/>
          <w:sz w:val="24"/>
          <w:szCs w:val="24"/>
          <w:lang w:eastAsia="pl-PL"/>
        </w:rPr>
        <w:t>element grzewczy powinien być zainstalowany na spodzie obudowy oraz posiadać zabezpieczenie przed przegrzaniem,</w:t>
      </w:r>
    </w:p>
    <w:p w14:paraId="72E7B035" w14:textId="77777777" w:rsid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zasilanie: 230 V AC, przewód zasilający wyprowadzony na listwę wewnętrzną,</w:t>
      </w:r>
    </w:p>
    <w:p w14:paraId="42726EF5" w14:textId="77777777" w:rsid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gniazdo serwisowe 230 V AC,</w:t>
      </w:r>
    </w:p>
    <w:p w14:paraId="73EF508E" w14:textId="77777777" w:rsid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rStyle w:val="CharStyle8"/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szafa wyposażona w monitor LCD montowany w systemie RACK oraz półkę z klawiaturą i myszką,</w:t>
      </w:r>
    </w:p>
    <w:p w14:paraId="54965EBD" w14:textId="77777777" w:rsid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zabezpieczenie otwarcia za pomocą kontaktronu lub krańcówki podłączonej do SSWiN</w:t>
      </w:r>
      <w:r w:rsidR="00925178" w:rsidRPr="00F90EBF">
        <w:rPr>
          <w:rStyle w:val="CharStyle8"/>
          <w:color w:val="000000"/>
          <w:sz w:val="24"/>
          <w:szCs w:val="24"/>
          <w:lang w:eastAsia="pl-PL"/>
        </w:rPr>
        <w:t>,</w:t>
      </w:r>
    </w:p>
    <w:p w14:paraId="35005417" w14:textId="77777777" w:rsidR="00F90EBF" w:rsidRP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rStyle w:val="CharStyle8"/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zewnętrzny sygnalizator alarmowy na jednej ze ścian podłączony do centrali alarmowej,</w:t>
      </w:r>
    </w:p>
    <w:p w14:paraId="67791030" w14:textId="4B55C8AC" w:rsidR="003B7A3B" w:rsidRPr="00F90EBF" w:rsidRDefault="003B7A3B" w:rsidP="00F90EBF">
      <w:pPr>
        <w:pStyle w:val="Style7"/>
        <w:numPr>
          <w:ilvl w:val="0"/>
          <w:numId w:val="29"/>
        </w:numPr>
        <w:tabs>
          <w:tab w:val="left" w:pos="418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zamknięcie na klucz klasy B lub C.</w:t>
      </w:r>
    </w:p>
    <w:p w14:paraId="2A6EDFA0" w14:textId="77777777" w:rsidR="003B7A3B" w:rsidRPr="00F90EBF" w:rsidRDefault="003B7A3B" w:rsidP="00F90EBF">
      <w:pPr>
        <w:pStyle w:val="Style7"/>
        <w:spacing w:before="120" w:after="120"/>
        <w:ind w:firstLine="380"/>
        <w:rPr>
          <w:b/>
          <w:bCs/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Przykładowy typ szafy: Rittal CS Toptec.</w:t>
      </w:r>
    </w:p>
    <w:p w14:paraId="77AF2046" w14:textId="1E64E4F1" w:rsidR="003B7A3B" w:rsidRPr="00F90EBF" w:rsidRDefault="003B7A3B" w:rsidP="00F90EBF">
      <w:pPr>
        <w:pStyle w:val="Style7"/>
        <w:spacing w:after="0"/>
        <w:rPr>
          <w:rStyle w:val="CharStyle8"/>
          <w:color w:val="000000"/>
          <w:sz w:val="24"/>
          <w:szCs w:val="24"/>
          <w:lang w:eastAsia="pl-PL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Wykonawca zobowiązany jest do przedstawienia dokumentacji technicznej oferowanej obudowy, urządzenia grzewczego oraz certyfikatów zgodności z ww. normami na każde wezwanie</w:t>
      </w:r>
      <w:r w:rsidRPr="00F90EBF">
        <w:rPr>
          <w:sz w:val="24"/>
          <w:szCs w:val="24"/>
        </w:rPr>
        <w:t xml:space="preserve"> </w:t>
      </w:r>
      <w:r w:rsidRPr="00F90EBF">
        <w:rPr>
          <w:rStyle w:val="CharStyle8"/>
          <w:color w:val="000000"/>
          <w:sz w:val="24"/>
          <w:szCs w:val="24"/>
          <w:lang w:eastAsia="pl-PL"/>
        </w:rPr>
        <w:t>Zamawiającego w trakcie realizacji prac objętych zamówieniem.</w:t>
      </w:r>
    </w:p>
    <w:p w14:paraId="0F14AF14" w14:textId="77777777" w:rsidR="001713C9" w:rsidRPr="00F90EBF" w:rsidRDefault="003B7A3B" w:rsidP="00F90EBF">
      <w:pPr>
        <w:pStyle w:val="Style10"/>
        <w:keepNext/>
        <w:keepLines/>
        <w:spacing w:before="240" w:after="120" w:line="276" w:lineRule="auto"/>
        <w:rPr>
          <w:sz w:val="24"/>
          <w:szCs w:val="24"/>
        </w:rPr>
      </w:pPr>
      <w:r w:rsidRPr="00F90EBF">
        <w:rPr>
          <w:rStyle w:val="CharStyle11"/>
          <w:b/>
          <w:bCs/>
          <w:color w:val="000000"/>
          <w:sz w:val="24"/>
          <w:szCs w:val="24"/>
          <w:u w:val="single"/>
          <w:lang w:eastAsia="pl-PL"/>
        </w:rPr>
        <w:t>Wymagania dotyczące zasilania w obudowie technicznej:</w:t>
      </w:r>
    </w:p>
    <w:p w14:paraId="1143D08E" w14:textId="77777777" w:rsidR="00B74A26" w:rsidRPr="00F90EBF" w:rsidRDefault="003B7A3B" w:rsidP="00F90EBF">
      <w:pPr>
        <w:pStyle w:val="Style10"/>
        <w:keepNext/>
        <w:keepLines/>
        <w:numPr>
          <w:ilvl w:val="0"/>
          <w:numId w:val="23"/>
        </w:numPr>
        <w:spacing w:after="0" w:line="276" w:lineRule="auto"/>
        <w:rPr>
          <w:b w:val="0"/>
          <w:bCs w:val="0"/>
          <w:sz w:val="24"/>
          <w:szCs w:val="24"/>
        </w:rPr>
      </w:pPr>
      <w:r w:rsidRPr="00F90EBF">
        <w:rPr>
          <w:b w:val="0"/>
          <w:bCs w:val="0"/>
          <w:sz w:val="24"/>
          <w:szCs w:val="24"/>
        </w:rPr>
        <w:t>Architektura zasilania</w:t>
      </w:r>
      <w:r w:rsidR="00174532" w:rsidRPr="00F90EBF">
        <w:rPr>
          <w:b w:val="0"/>
          <w:bCs w:val="0"/>
          <w:sz w:val="24"/>
          <w:szCs w:val="24"/>
        </w:rPr>
        <w:t>:</w:t>
      </w:r>
    </w:p>
    <w:p w14:paraId="1D102720" w14:textId="197955B4" w:rsidR="00B74A26" w:rsidRPr="00F90EBF" w:rsidRDefault="003B7A3B" w:rsidP="00F90EBF">
      <w:pPr>
        <w:pStyle w:val="Style10"/>
        <w:keepNext/>
        <w:keepLines/>
        <w:numPr>
          <w:ilvl w:val="0"/>
          <w:numId w:val="11"/>
        </w:numPr>
        <w:spacing w:before="60" w:after="60"/>
        <w:ind w:left="714" w:hanging="357"/>
        <w:rPr>
          <w:b w:val="0"/>
          <w:bCs w:val="0"/>
          <w:sz w:val="24"/>
          <w:szCs w:val="24"/>
        </w:rPr>
      </w:pPr>
      <w:r w:rsidRPr="00F90EBF">
        <w:rPr>
          <w:b w:val="0"/>
          <w:bCs w:val="0"/>
          <w:sz w:val="24"/>
          <w:szCs w:val="24"/>
        </w:rPr>
        <w:t xml:space="preserve">w obrębie powyższej obudowy należy przewidzieć montaż zasilania awaryjnego UPS o mocy znamionowej min. 1300VAnp.: CyberPower CP1300EPFCLCD doposażony w uchwyty </w:t>
      </w:r>
      <w:r w:rsidR="00174532" w:rsidRPr="00F90EBF">
        <w:rPr>
          <w:b w:val="0"/>
          <w:bCs w:val="0"/>
          <w:sz w:val="24"/>
          <w:szCs w:val="24"/>
        </w:rPr>
        <w:t>Rack Ears</w:t>
      </w:r>
      <w:r w:rsidRPr="00F90EBF">
        <w:rPr>
          <w:b w:val="0"/>
          <w:bCs w:val="0"/>
          <w:sz w:val="24"/>
          <w:szCs w:val="24"/>
        </w:rPr>
        <w:t xml:space="preserve"> lub model o nie gorszych parametrach montowany w systemie RACK</w:t>
      </w:r>
      <w:r w:rsidR="00803245" w:rsidRPr="00F90EBF">
        <w:rPr>
          <w:b w:val="0"/>
          <w:bCs w:val="0"/>
          <w:sz w:val="24"/>
          <w:szCs w:val="24"/>
        </w:rPr>
        <w:t>,</w:t>
      </w:r>
    </w:p>
    <w:p w14:paraId="5D7402B8" w14:textId="05014712" w:rsidR="001713C9" w:rsidRPr="00F90EBF" w:rsidRDefault="003B7A3B" w:rsidP="00F90EBF">
      <w:pPr>
        <w:pStyle w:val="Style10"/>
        <w:keepNext/>
        <w:keepLines/>
        <w:numPr>
          <w:ilvl w:val="0"/>
          <w:numId w:val="11"/>
        </w:numPr>
        <w:spacing w:before="60" w:after="240"/>
        <w:ind w:left="714" w:hanging="357"/>
        <w:rPr>
          <w:b w:val="0"/>
          <w:bCs w:val="0"/>
          <w:sz w:val="24"/>
          <w:szCs w:val="24"/>
        </w:rPr>
      </w:pPr>
      <w:r w:rsidRPr="00F90EBF">
        <w:rPr>
          <w:b w:val="0"/>
          <w:bCs w:val="0"/>
          <w:sz w:val="24"/>
          <w:szCs w:val="24"/>
        </w:rPr>
        <w:t xml:space="preserve">za wyjściem UPS należy zainstalować zasilacz buforowy przeznaczony do pracy ciągłej, stanowiący podstawowe źródło zasilana dla: </w:t>
      </w:r>
      <w:r w:rsidR="00174532" w:rsidRPr="00F90EBF">
        <w:rPr>
          <w:b w:val="0"/>
          <w:bCs w:val="0"/>
          <w:sz w:val="24"/>
          <w:szCs w:val="24"/>
        </w:rPr>
        <w:t>r</w:t>
      </w:r>
      <w:r w:rsidRPr="00F90EBF">
        <w:rPr>
          <w:b w:val="0"/>
          <w:bCs w:val="0"/>
          <w:sz w:val="24"/>
          <w:szCs w:val="24"/>
        </w:rPr>
        <w:t>ejestratora, switcha, kamer, modemu, CA</w:t>
      </w:r>
      <w:r w:rsidR="003A14F4" w:rsidRPr="00F90EBF">
        <w:rPr>
          <w:b w:val="0"/>
          <w:bCs w:val="0"/>
          <w:sz w:val="24"/>
          <w:szCs w:val="24"/>
        </w:rPr>
        <w:t>.</w:t>
      </w:r>
    </w:p>
    <w:p w14:paraId="1C7A8799" w14:textId="32BFA831" w:rsidR="003B7A3B" w:rsidRPr="00F90EBF" w:rsidRDefault="003B7A3B" w:rsidP="00F90EBF">
      <w:pPr>
        <w:pStyle w:val="Bezodstpw"/>
        <w:numPr>
          <w:ilvl w:val="0"/>
          <w:numId w:val="23"/>
        </w:numPr>
        <w:rPr>
          <w:rFonts w:ascii="Arial" w:hAnsi="Arial" w:cs="Arial"/>
        </w:rPr>
      </w:pPr>
      <w:r w:rsidRPr="00F90EBF">
        <w:rPr>
          <w:rFonts w:ascii="Arial" w:hAnsi="Arial" w:cs="Arial"/>
        </w:rPr>
        <w:t>Wymagania funkcjonalne</w:t>
      </w:r>
      <w:r w:rsidR="00174532" w:rsidRPr="00F90EBF">
        <w:rPr>
          <w:rFonts w:ascii="Arial" w:hAnsi="Arial" w:cs="Arial"/>
        </w:rPr>
        <w:t>:</w:t>
      </w:r>
    </w:p>
    <w:p w14:paraId="23B0B01B" w14:textId="7D82DAA9" w:rsidR="003B7A3B" w:rsidRPr="00F90EBF" w:rsidRDefault="003B7A3B" w:rsidP="00F90EBF">
      <w:pPr>
        <w:pStyle w:val="Bezodstpw"/>
        <w:numPr>
          <w:ilvl w:val="0"/>
          <w:numId w:val="12"/>
        </w:numPr>
        <w:spacing w:before="60" w:after="60"/>
        <w:ind w:left="714" w:hanging="357"/>
        <w:rPr>
          <w:rFonts w:ascii="Arial" w:hAnsi="Arial" w:cs="Arial"/>
        </w:rPr>
      </w:pPr>
      <w:r w:rsidRPr="00F90EBF">
        <w:rPr>
          <w:rFonts w:ascii="Arial" w:hAnsi="Arial" w:cs="Arial"/>
        </w:rPr>
        <w:t>wszystkie wskazane urządzenia muszą pracować w trybie zasilania buforowego w przypadku zaniku napięcia podstawowego</w:t>
      </w:r>
      <w:r w:rsidR="00803245" w:rsidRPr="00F90EBF">
        <w:rPr>
          <w:rFonts w:ascii="Arial" w:hAnsi="Arial" w:cs="Arial"/>
        </w:rPr>
        <w:t>,</w:t>
      </w:r>
    </w:p>
    <w:p w14:paraId="4C60C623" w14:textId="200B92F0" w:rsidR="003B7A3B" w:rsidRPr="00F90EBF" w:rsidRDefault="003B7A3B" w:rsidP="00F90EBF">
      <w:pPr>
        <w:pStyle w:val="Bezodstpw"/>
        <w:numPr>
          <w:ilvl w:val="0"/>
          <w:numId w:val="12"/>
        </w:numPr>
        <w:spacing w:before="60" w:after="60"/>
        <w:ind w:left="714" w:hanging="357"/>
        <w:rPr>
          <w:rFonts w:ascii="Arial" w:hAnsi="Arial" w:cs="Arial"/>
        </w:rPr>
      </w:pPr>
      <w:r w:rsidRPr="00F90EBF">
        <w:rPr>
          <w:rFonts w:ascii="Arial" w:hAnsi="Arial" w:cs="Arial"/>
        </w:rPr>
        <w:t>układ zasilania musi zapewniać ciągłość pracy systemu bez restartu urządzeń przy przejściu na zasilanie rezerwowe</w:t>
      </w:r>
      <w:r w:rsidR="00803245" w:rsidRPr="00F90EBF">
        <w:rPr>
          <w:rFonts w:ascii="Arial" w:hAnsi="Arial" w:cs="Arial"/>
        </w:rPr>
        <w:t>,</w:t>
      </w:r>
    </w:p>
    <w:p w14:paraId="379E0DBF" w14:textId="7710B94E" w:rsidR="003B7A3B" w:rsidRPr="00F90EBF" w:rsidRDefault="003B7A3B" w:rsidP="00F90EBF">
      <w:pPr>
        <w:pStyle w:val="Bezodstpw"/>
        <w:numPr>
          <w:ilvl w:val="0"/>
          <w:numId w:val="12"/>
        </w:numPr>
        <w:spacing w:before="60" w:after="60"/>
        <w:ind w:left="714" w:hanging="357"/>
        <w:rPr>
          <w:rFonts w:ascii="Arial" w:hAnsi="Arial" w:cs="Arial"/>
        </w:rPr>
      </w:pPr>
      <w:r w:rsidRPr="00F90EBF">
        <w:rPr>
          <w:rFonts w:ascii="Arial" w:hAnsi="Arial" w:cs="Arial"/>
        </w:rPr>
        <w:t xml:space="preserve">niedopuszczalne jest bezpośrednie zasilanie któregokolwiek z wymienionych </w:t>
      </w:r>
      <w:r w:rsidRPr="00F90EBF">
        <w:rPr>
          <w:rFonts w:ascii="Arial" w:hAnsi="Arial" w:cs="Arial"/>
        </w:rPr>
        <w:lastRenderedPageBreak/>
        <w:t>urządzeń z pominięciem zasilacza buforowego</w:t>
      </w:r>
      <w:r w:rsidR="00803245" w:rsidRPr="00F90EBF">
        <w:rPr>
          <w:rFonts w:ascii="Arial" w:hAnsi="Arial" w:cs="Arial"/>
        </w:rPr>
        <w:t>,</w:t>
      </w:r>
    </w:p>
    <w:p w14:paraId="66135B0B" w14:textId="64F89224" w:rsidR="003D1207" w:rsidRPr="00F90EBF" w:rsidRDefault="003B7A3B" w:rsidP="00F90EBF">
      <w:pPr>
        <w:pStyle w:val="Bezodstpw"/>
        <w:numPr>
          <w:ilvl w:val="0"/>
          <w:numId w:val="12"/>
        </w:numPr>
        <w:spacing w:before="60" w:after="240"/>
        <w:ind w:left="714" w:hanging="357"/>
        <w:rPr>
          <w:rFonts w:ascii="Arial" w:hAnsi="Arial" w:cs="Arial"/>
        </w:rPr>
      </w:pPr>
      <w:r w:rsidRPr="00F90EBF">
        <w:rPr>
          <w:rFonts w:ascii="Arial" w:hAnsi="Arial" w:cs="Arial"/>
        </w:rPr>
        <w:t>zasilanie buforowe wszystkich objętych urządzeń musi być realizowane w zakresie napięcia bezpiecznego (SELV), nieprzekraczającego 48V DC</w:t>
      </w:r>
      <w:r w:rsidR="003D1207" w:rsidRPr="00F90EBF">
        <w:rPr>
          <w:rFonts w:ascii="Arial" w:hAnsi="Arial" w:cs="Arial"/>
        </w:rPr>
        <w:t>.</w:t>
      </w:r>
    </w:p>
    <w:p w14:paraId="13F5175E" w14:textId="6E92E77E" w:rsidR="003D1207" w:rsidRPr="00F90EBF" w:rsidRDefault="003B7A3B" w:rsidP="00F90EBF">
      <w:pPr>
        <w:pStyle w:val="Bezodstpw"/>
        <w:numPr>
          <w:ilvl w:val="0"/>
          <w:numId w:val="23"/>
        </w:numPr>
        <w:spacing w:after="240"/>
        <w:ind w:left="499" w:hanging="357"/>
        <w:rPr>
          <w:rFonts w:ascii="Arial" w:hAnsi="Arial" w:cs="Arial"/>
        </w:rPr>
      </w:pPr>
      <w:r w:rsidRPr="00F90EBF">
        <w:rPr>
          <w:rFonts w:ascii="Arial" w:hAnsi="Arial" w:cs="Arial"/>
        </w:rPr>
        <w:t>Minimalny wymagany czas podtrzymania zasilania</w:t>
      </w:r>
      <w:r w:rsidR="00174532" w:rsidRPr="00F90EBF">
        <w:rPr>
          <w:rFonts w:ascii="Arial" w:hAnsi="Arial" w:cs="Arial"/>
        </w:rPr>
        <w:t xml:space="preserve"> </w:t>
      </w:r>
      <w:r w:rsidRPr="00F90EBF">
        <w:rPr>
          <w:rFonts w:ascii="Arial" w:hAnsi="Arial" w:cs="Arial"/>
        </w:rPr>
        <w:t>– nie mniej niż 48h pracy przy pełnym obciążeniu</w:t>
      </w:r>
      <w:r w:rsidR="003D1207" w:rsidRPr="00F90EBF">
        <w:rPr>
          <w:rFonts w:ascii="Arial" w:hAnsi="Arial" w:cs="Arial"/>
        </w:rPr>
        <w:t xml:space="preserve">. </w:t>
      </w:r>
      <w:r w:rsidRPr="00F90EBF">
        <w:rPr>
          <w:rFonts w:ascii="Arial" w:hAnsi="Arial" w:cs="Arial"/>
        </w:rPr>
        <w:t>W przypadku wymaganego 48-godzinnego czasu podtrzymania dopuszcza się zastosowanie</w:t>
      </w:r>
      <w:r w:rsidR="003D1207" w:rsidRPr="00F90EBF">
        <w:rPr>
          <w:rFonts w:ascii="Arial" w:hAnsi="Arial" w:cs="Arial"/>
        </w:rPr>
        <w:t xml:space="preserve"> </w:t>
      </w:r>
      <w:r w:rsidRPr="00F90EBF">
        <w:rPr>
          <w:rFonts w:ascii="Arial" w:hAnsi="Arial" w:cs="Arial"/>
        </w:rPr>
        <w:t>baterii akumulatorów w odrębnej obudowie technicznej, z uwagi na ich gabaryty oraz wymagania instalacyjne.</w:t>
      </w:r>
      <w:r w:rsidRPr="00F90EBF">
        <w:rPr>
          <w:rFonts w:ascii="Arial" w:hAnsi="Arial" w:cs="Arial"/>
        </w:rPr>
        <w:br/>
        <w:t>Wykonawca zobowiązany jest do uwzględnienia odpowiednich warunków</w:t>
      </w:r>
      <w:r w:rsidR="00075182" w:rsidRPr="00F90EBF">
        <w:rPr>
          <w:rFonts w:ascii="Arial" w:hAnsi="Arial" w:cs="Arial"/>
        </w:rPr>
        <w:t xml:space="preserve"> </w:t>
      </w:r>
      <w:r w:rsidRPr="00F90EBF">
        <w:rPr>
          <w:rFonts w:ascii="Arial" w:hAnsi="Arial" w:cs="Arial"/>
        </w:rPr>
        <w:t>wentylacyjnych, zabezpieczeń oraz dostępności serwisowej.</w:t>
      </w:r>
    </w:p>
    <w:p w14:paraId="5D9B589E" w14:textId="1645B4B9" w:rsidR="003B7A3B" w:rsidRPr="00F90EBF" w:rsidRDefault="003B7A3B" w:rsidP="00F90EBF">
      <w:pPr>
        <w:pStyle w:val="Bezodstpw"/>
        <w:numPr>
          <w:ilvl w:val="0"/>
          <w:numId w:val="23"/>
        </w:numPr>
        <w:rPr>
          <w:rFonts w:ascii="Arial" w:hAnsi="Arial" w:cs="Arial"/>
        </w:rPr>
      </w:pPr>
      <w:r w:rsidRPr="00F90EBF">
        <w:rPr>
          <w:rFonts w:ascii="Arial" w:hAnsi="Arial" w:cs="Arial"/>
        </w:rPr>
        <w:t>Parametry jakościowe</w:t>
      </w:r>
      <w:r w:rsidR="00075182" w:rsidRPr="00F90EBF">
        <w:rPr>
          <w:rFonts w:ascii="Arial" w:hAnsi="Arial" w:cs="Arial"/>
        </w:rPr>
        <w:t>:</w:t>
      </w:r>
    </w:p>
    <w:p w14:paraId="2BA38216" w14:textId="5ACF3F39" w:rsidR="003B7A3B" w:rsidRPr="00F90EBF" w:rsidRDefault="003B7A3B" w:rsidP="00F90EBF">
      <w:pPr>
        <w:pStyle w:val="Akapitzlist"/>
        <w:numPr>
          <w:ilvl w:val="0"/>
          <w:numId w:val="18"/>
        </w:numPr>
        <w:spacing w:before="60" w:after="60"/>
        <w:contextualSpacing w:val="0"/>
        <w:rPr>
          <w:rFonts w:ascii="Arial" w:hAnsi="Arial" w:cs="Arial"/>
        </w:rPr>
      </w:pPr>
      <w:r w:rsidRPr="00F90EBF">
        <w:rPr>
          <w:rFonts w:ascii="Arial" w:hAnsi="Arial" w:cs="Arial"/>
        </w:rPr>
        <w:t>Należy zastosować zasilacz buforowy o podwyższonej niezawodności – MTBF &gt;200 000 h</w:t>
      </w:r>
      <w:r w:rsidR="00803245" w:rsidRPr="00F90EBF">
        <w:rPr>
          <w:rFonts w:ascii="Arial" w:hAnsi="Arial" w:cs="Arial"/>
        </w:rPr>
        <w:t>,</w:t>
      </w:r>
    </w:p>
    <w:p w14:paraId="3AC253EB" w14:textId="5BB96464" w:rsidR="003B7A3B" w:rsidRPr="00F90EBF" w:rsidRDefault="003B7A3B" w:rsidP="00F90EBF">
      <w:pPr>
        <w:pStyle w:val="Akapitzlist"/>
        <w:numPr>
          <w:ilvl w:val="0"/>
          <w:numId w:val="18"/>
        </w:numPr>
        <w:spacing w:before="60" w:after="60"/>
        <w:contextualSpacing w:val="0"/>
        <w:rPr>
          <w:rFonts w:ascii="Arial" w:hAnsi="Arial" w:cs="Arial"/>
        </w:rPr>
      </w:pPr>
      <w:r w:rsidRPr="00F90EBF">
        <w:rPr>
          <w:rFonts w:ascii="Arial" w:hAnsi="Arial" w:cs="Arial"/>
        </w:rPr>
        <w:t>Układ musi posiadać zabezpieczenia przeciwzwarciowe, przeciążeniowe, przepięciowe oraz kontrolę stanu akumulatorów</w:t>
      </w:r>
      <w:r w:rsidR="00803245" w:rsidRPr="00F90EBF">
        <w:rPr>
          <w:rFonts w:ascii="Arial" w:hAnsi="Arial" w:cs="Arial"/>
        </w:rPr>
        <w:t>,</w:t>
      </w:r>
    </w:p>
    <w:p w14:paraId="6800AA63" w14:textId="77777777" w:rsidR="003A14F4" w:rsidRPr="00F90EBF" w:rsidRDefault="003B7A3B" w:rsidP="00F90EBF">
      <w:pPr>
        <w:pStyle w:val="Akapitzlist"/>
        <w:numPr>
          <w:ilvl w:val="0"/>
          <w:numId w:val="18"/>
        </w:numPr>
        <w:spacing w:before="60" w:after="240"/>
        <w:contextualSpacing w:val="0"/>
        <w:rPr>
          <w:rFonts w:ascii="Arial" w:hAnsi="Arial" w:cs="Arial"/>
        </w:rPr>
      </w:pPr>
      <w:r w:rsidRPr="00F90EBF">
        <w:rPr>
          <w:rFonts w:ascii="Arial" w:hAnsi="Arial" w:cs="Arial"/>
        </w:rPr>
        <w:t>Wymagana jest sygnalizacja stanów awaryjnych (brak zasilania sieciowego, praca bateryjna, uszkodzenie akumulatora).</w:t>
      </w:r>
    </w:p>
    <w:p w14:paraId="0CCD7AED" w14:textId="0B32CE37" w:rsidR="003B7A3B" w:rsidRPr="00F90EBF" w:rsidRDefault="003B7A3B" w:rsidP="00F90EBF">
      <w:pPr>
        <w:pStyle w:val="Akapitzlist"/>
        <w:numPr>
          <w:ilvl w:val="0"/>
          <w:numId w:val="23"/>
        </w:numPr>
        <w:spacing w:after="60"/>
        <w:ind w:left="499" w:hanging="357"/>
        <w:rPr>
          <w:rFonts w:ascii="Arial" w:hAnsi="Arial" w:cs="Arial"/>
        </w:rPr>
      </w:pPr>
      <w:r w:rsidRPr="00F90EBF">
        <w:rPr>
          <w:rFonts w:ascii="Arial" w:hAnsi="Arial" w:cs="Arial"/>
        </w:rPr>
        <w:t xml:space="preserve"> Bilans energetyczny</w:t>
      </w:r>
      <w:r w:rsidR="00075182" w:rsidRPr="00F90EBF">
        <w:rPr>
          <w:rFonts w:ascii="Arial" w:hAnsi="Arial" w:cs="Arial"/>
        </w:rPr>
        <w:t>:</w:t>
      </w:r>
    </w:p>
    <w:p w14:paraId="41F18B12" w14:textId="089AB055" w:rsidR="003B7A3B" w:rsidRPr="00F90EBF" w:rsidRDefault="003B7A3B" w:rsidP="00F90EBF">
      <w:pPr>
        <w:pStyle w:val="Akapitzlist"/>
        <w:numPr>
          <w:ilvl w:val="0"/>
          <w:numId w:val="19"/>
        </w:numPr>
        <w:spacing w:before="60" w:after="60"/>
        <w:contextualSpacing w:val="0"/>
        <w:rPr>
          <w:rFonts w:ascii="Arial" w:hAnsi="Arial" w:cs="Arial"/>
        </w:rPr>
      </w:pPr>
      <w:r w:rsidRPr="00F90EBF">
        <w:rPr>
          <w:rFonts w:ascii="Arial" w:hAnsi="Arial" w:cs="Arial"/>
        </w:rPr>
        <w:t>Wykonawca jest zobowiązany do wykonania pełnego bilansu mocy oraz bilansu czasu podtrzymania uwzględniający czasu podtrzymania z pkt. 3</w:t>
      </w:r>
      <w:r w:rsidR="00075182" w:rsidRPr="00F90EBF">
        <w:rPr>
          <w:rFonts w:ascii="Arial" w:hAnsi="Arial" w:cs="Arial"/>
        </w:rPr>
        <w:t>,</w:t>
      </w:r>
    </w:p>
    <w:p w14:paraId="45A3C8B7" w14:textId="0B48F2E3" w:rsidR="003A14F4" w:rsidRPr="00F90EBF" w:rsidRDefault="003B7A3B" w:rsidP="00F90EBF">
      <w:pPr>
        <w:pStyle w:val="Akapitzlist"/>
        <w:numPr>
          <w:ilvl w:val="0"/>
          <w:numId w:val="19"/>
        </w:numPr>
        <w:spacing w:before="60" w:after="240"/>
        <w:contextualSpacing w:val="0"/>
        <w:rPr>
          <w:rFonts w:ascii="Arial" w:hAnsi="Arial" w:cs="Arial"/>
        </w:rPr>
      </w:pPr>
      <w:r w:rsidRPr="00F90EBF">
        <w:rPr>
          <w:rFonts w:ascii="Arial" w:hAnsi="Arial" w:cs="Arial"/>
        </w:rPr>
        <w:t>Dokumentacja powykonawcza musi zawierać obliczenia obciążenia, czas podtrzymania oraz charakterystykę zastosowanych elementów</w:t>
      </w:r>
      <w:r w:rsidR="00075182" w:rsidRPr="00F90EBF">
        <w:rPr>
          <w:rFonts w:ascii="Arial" w:hAnsi="Arial" w:cs="Arial"/>
        </w:rPr>
        <w:t>.</w:t>
      </w:r>
    </w:p>
    <w:p w14:paraId="5D7F0786" w14:textId="371DBF84" w:rsidR="003B7A3B" w:rsidRPr="00F90EBF" w:rsidRDefault="003B7A3B" w:rsidP="00F90EBF">
      <w:pPr>
        <w:pStyle w:val="Akapitzlist"/>
        <w:numPr>
          <w:ilvl w:val="0"/>
          <w:numId w:val="23"/>
        </w:numPr>
        <w:rPr>
          <w:rFonts w:ascii="Arial" w:hAnsi="Arial" w:cs="Arial"/>
        </w:rPr>
      </w:pPr>
      <w:r w:rsidRPr="00F90EBF">
        <w:rPr>
          <w:rFonts w:ascii="Arial" w:hAnsi="Arial" w:cs="Arial"/>
        </w:rPr>
        <w:t>Wymagania instalacyjne</w:t>
      </w:r>
      <w:r w:rsidR="00075182" w:rsidRPr="00F90EBF">
        <w:rPr>
          <w:rFonts w:ascii="Arial" w:hAnsi="Arial" w:cs="Arial"/>
        </w:rPr>
        <w:t>:</w:t>
      </w:r>
    </w:p>
    <w:p w14:paraId="6D509816" w14:textId="316B5365" w:rsidR="003B7A3B" w:rsidRPr="00F90EBF" w:rsidRDefault="003B7A3B" w:rsidP="00F90EBF">
      <w:pPr>
        <w:pStyle w:val="Akapitzlist"/>
        <w:numPr>
          <w:ilvl w:val="0"/>
          <w:numId w:val="20"/>
        </w:numPr>
        <w:spacing w:before="60" w:after="60"/>
        <w:contextualSpacing w:val="0"/>
        <w:rPr>
          <w:rFonts w:ascii="Arial" w:hAnsi="Arial" w:cs="Arial"/>
        </w:rPr>
      </w:pPr>
      <w:r w:rsidRPr="00F90EBF">
        <w:rPr>
          <w:rFonts w:ascii="Arial" w:hAnsi="Arial" w:cs="Arial"/>
        </w:rPr>
        <w:t>Zasilacz buforowy oraz akumulatory należy zamontować w sposób zapewniający odpowiednią wentylację i możliwość serwisowania</w:t>
      </w:r>
      <w:r w:rsidR="00075182" w:rsidRPr="00F90EBF">
        <w:rPr>
          <w:rFonts w:ascii="Arial" w:hAnsi="Arial" w:cs="Arial"/>
        </w:rPr>
        <w:t>,</w:t>
      </w:r>
    </w:p>
    <w:p w14:paraId="47E78039" w14:textId="7D6B0B1A" w:rsidR="003B7A3B" w:rsidRPr="00F90EBF" w:rsidRDefault="003B7A3B" w:rsidP="00F90EBF">
      <w:pPr>
        <w:pStyle w:val="Akapitzlist"/>
        <w:numPr>
          <w:ilvl w:val="0"/>
          <w:numId w:val="20"/>
        </w:numPr>
        <w:spacing w:before="60" w:after="60"/>
        <w:contextualSpacing w:val="0"/>
        <w:rPr>
          <w:rFonts w:ascii="Arial" w:hAnsi="Arial" w:cs="Arial"/>
        </w:rPr>
      </w:pPr>
      <w:r w:rsidRPr="00F90EBF">
        <w:rPr>
          <w:rFonts w:ascii="Arial" w:hAnsi="Arial" w:cs="Arial"/>
        </w:rPr>
        <w:t>Okablowanie zasilające powinno być wydzielone, uporządkowane i oznakowane</w:t>
      </w:r>
      <w:r w:rsidR="00075182" w:rsidRPr="00F90EBF">
        <w:rPr>
          <w:rFonts w:ascii="Arial" w:hAnsi="Arial" w:cs="Arial"/>
        </w:rPr>
        <w:t>,</w:t>
      </w:r>
    </w:p>
    <w:p w14:paraId="7DF415AA" w14:textId="04FDDC1A" w:rsidR="003B7A3B" w:rsidRPr="00F90EBF" w:rsidRDefault="003B7A3B" w:rsidP="00F90EBF">
      <w:pPr>
        <w:pStyle w:val="Akapitzlist"/>
        <w:numPr>
          <w:ilvl w:val="0"/>
          <w:numId w:val="20"/>
        </w:numPr>
        <w:spacing w:before="60" w:after="240"/>
        <w:contextualSpacing w:val="0"/>
        <w:rPr>
          <w:rFonts w:ascii="Arial" w:hAnsi="Arial" w:cs="Arial"/>
        </w:rPr>
      </w:pPr>
      <w:r w:rsidRPr="00F90EBF">
        <w:rPr>
          <w:rFonts w:ascii="Arial" w:hAnsi="Arial" w:cs="Arial"/>
        </w:rPr>
        <w:t>Wykonawca odpowiada za kompatybilność napięciową i prądową wszystkich elementów</w:t>
      </w:r>
      <w:r w:rsidR="00075182" w:rsidRPr="00F90EBF">
        <w:rPr>
          <w:rFonts w:ascii="Arial" w:hAnsi="Arial" w:cs="Arial"/>
        </w:rPr>
        <w:t>.</w:t>
      </w:r>
    </w:p>
    <w:p w14:paraId="17F0199D" w14:textId="77777777" w:rsidR="003B7A3B" w:rsidRPr="00F90EBF" w:rsidRDefault="003B7A3B" w:rsidP="00F90EBF">
      <w:pPr>
        <w:pStyle w:val="Style10"/>
        <w:keepNext/>
        <w:keepLines/>
        <w:spacing w:before="120" w:after="0"/>
        <w:rPr>
          <w:b w:val="0"/>
          <w:bCs w:val="0"/>
          <w:sz w:val="24"/>
          <w:szCs w:val="24"/>
        </w:rPr>
      </w:pPr>
      <w:bookmarkStart w:id="4" w:name="bookmark8"/>
      <w:r w:rsidRPr="00F90EBF">
        <w:rPr>
          <w:rStyle w:val="CharStyle11"/>
          <w:b/>
          <w:bCs/>
          <w:color w:val="000000"/>
          <w:sz w:val="24"/>
          <w:szCs w:val="24"/>
          <w:u w:val="single"/>
          <w:lang w:eastAsia="pl-PL"/>
        </w:rPr>
        <w:t>Podłączenie do sieci informatycznej:</w:t>
      </w:r>
      <w:bookmarkEnd w:id="4"/>
    </w:p>
    <w:p w14:paraId="5698B8A5" w14:textId="2AD2E749" w:rsidR="003B7A3B" w:rsidRPr="00F90EBF" w:rsidRDefault="003B7A3B" w:rsidP="00F90EBF">
      <w:pPr>
        <w:pStyle w:val="Style7"/>
        <w:spacing w:before="120" w:after="240"/>
        <w:rPr>
          <w:rStyle w:val="CharStyle8"/>
          <w:color w:val="000000"/>
          <w:sz w:val="24"/>
          <w:szCs w:val="24"/>
          <w:lang w:eastAsia="pl-PL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System monitoringu wizyjnego oraz moduł komunikacyjny systemu alarmowego powinny być podłączone do routera ICR-2834G-</w:t>
      </w:r>
      <w:r w:rsidRPr="00F90EBF">
        <w:rPr>
          <w:color w:val="000000"/>
          <w:sz w:val="24"/>
          <w:szCs w:val="24"/>
          <w:lang w:eastAsia="pl-PL"/>
        </w:rPr>
        <w:t>S1GAZ</w:t>
      </w:r>
      <w:r w:rsidRPr="00F90EBF">
        <w:rPr>
          <w:rStyle w:val="CharStyle8"/>
          <w:color w:val="000000"/>
          <w:sz w:val="24"/>
          <w:szCs w:val="24"/>
          <w:lang w:eastAsia="pl-PL"/>
        </w:rPr>
        <w:t xml:space="preserve">. Router wyposażony w antenę zewnętrzną LTE o uzysku min 12dBi zainstalowaną na 3 metrowym słupku z fundamentem prefabrykowanym obok obudowy technicznej. </w:t>
      </w:r>
      <w:r w:rsidRPr="00F90EBF">
        <w:rPr>
          <w:rStyle w:val="CharStyle8"/>
          <w:color w:val="000000"/>
          <w:sz w:val="24"/>
          <w:szCs w:val="24"/>
          <w:lang w:eastAsia="pl-PL"/>
        </w:rPr>
        <w:br/>
        <w:t>Należy zaprojektować połączenie między powyższą szafą a pomieszczeniem AKPiA wyposażone w 4x F/UTP kat 5e, doziemny żelowany</w:t>
      </w:r>
      <w:r w:rsidR="00F41A28" w:rsidRPr="00F90EBF">
        <w:rPr>
          <w:rStyle w:val="CharStyle8"/>
          <w:color w:val="000000"/>
          <w:sz w:val="24"/>
          <w:szCs w:val="24"/>
          <w:lang w:eastAsia="pl-PL"/>
        </w:rPr>
        <w:t>.</w:t>
      </w:r>
    </w:p>
    <w:p w14:paraId="3BF07718" w14:textId="1AE9602E" w:rsidR="003B7A3B" w:rsidRPr="00F90EBF" w:rsidRDefault="003B7A3B" w:rsidP="00F90EBF">
      <w:pPr>
        <w:pStyle w:val="Nagwek1"/>
        <w:spacing w:before="0" w:after="0"/>
        <w:rPr>
          <w:rFonts w:ascii="Arial" w:hAnsi="Arial" w:cs="Arial"/>
          <w:b/>
          <w:bCs/>
          <w:color w:val="auto"/>
          <w:sz w:val="24"/>
          <w:szCs w:val="24"/>
          <w:u w:val="single"/>
        </w:rPr>
      </w:pPr>
      <w:r w:rsidRPr="00F90EBF">
        <w:rPr>
          <w:rFonts w:ascii="Arial" w:hAnsi="Arial" w:cs="Arial"/>
          <w:b/>
          <w:bCs/>
          <w:color w:val="auto"/>
          <w:sz w:val="24"/>
          <w:szCs w:val="24"/>
          <w:u w:val="single"/>
        </w:rPr>
        <w:t xml:space="preserve">Wykonanie </w:t>
      </w:r>
      <w:r w:rsidR="003D1207" w:rsidRPr="00F90EBF">
        <w:rPr>
          <w:rFonts w:ascii="Arial" w:hAnsi="Arial" w:cs="Arial"/>
          <w:b/>
          <w:bCs/>
          <w:color w:val="auto"/>
          <w:sz w:val="24"/>
          <w:szCs w:val="24"/>
          <w:u w:val="single"/>
        </w:rPr>
        <w:t>k</w:t>
      </w:r>
      <w:r w:rsidRPr="00F90EBF">
        <w:rPr>
          <w:rFonts w:ascii="Arial" w:hAnsi="Arial" w:cs="Arial"/>
          <w:b/>
          <w:bCs/>
          <w:color w:val="auto"/>
          <w:sz w:val="24"/>
          <w:szCs w:val="24"/>
          <w:u w:val="single"/>
        </w:rPr>
        <w:t xml:space="preserve">analizacji </w:t>
      </w:r>
      <w:r w:rsidR="003D1207" w:rsidRPr="00F90EBF">
        <w:rPr>
          <w:rFonts w:ascii="Arial" w:hAnsi="Arial" w:cs="Arial"/>
          <w:b/>
          <w:bCs/>
          <w:color w:val="auto"/>
          <w:sz w:val="24"/>
          <w:szCs w:val="24"/>
          <w:u w:val="single"/>
        </w:rPr>
        <w:t>t</w:t>
      </w:r>
      <w:r w:rsidRPr="00F90EBF">
        <w:rPr>
          <w:rFonts w:ascii="Arial" w:hAnsi="Arial" w:cs="Arial"/>
          <w:b/>
          <w:bCs/>
          <w:color w:val="auto"/>
          <w:sz w:val="24"/>
          <w:szCs w:val="24"/>
          <w:u w:val="single"/>
        </w:rPr>
        <w:t>eletechnicznej:</w:t>
      </w:r>
    </w:p>
    <w:p w14:paraId="75E44369" w14:textId="19F17E54" w:rsidR="001713C9" w:rsidRPr="00F90EBF" w:rsidRDefault="003B7A3B" w:rsidP="00F90EBF">
      <w:pPr>
        <w:spacing w:before="120"/>
        <w:rPr>
          <w:rFonts w:ascii="Arial" w:hAnsi="Arial" w:cs="Arial"/>
        </w:rPr>
      </w:pPr>
      <w:r w:rsidRPr="00F90EBF">
        <w:rPr>
          <w:rFonts w:ascii="Arial" w:hAnsi="Arial" w:cs="Arial"/>
        </w:rPr>
        <w:t>Należy zaprojektować kanalizacje teletechniczną przeznaczoną do prowadzenia instalacji niskoprądowych oraz infrastruktury zasilająco-sterującej oświetleniem zewnętrznym.</w:t>
      </w:r>
    </w:p>
    <w:p w14:paraId="6127F58E" w14:textId="77777777" w:rsidR="001713C9" w:rsidRPr="00F90EBF" w:rsidRDefault="001713C9" w:rsidP="00F90EBF">
      <w:pPr>
        <w:spacing w:before="120"/>
        <w:rPr>
          <w:rFonts w:ascii="Arial" w:hAnsi="Arial" w:cs="Arial"/>
          <w:u w:val="single"/>
        </w:rPr>
      </w:pPr>
      <w:r w:rsidRPr="00F90EBF">
        <w:rPr>
          <w:rFonts w:ascii="Arial" w:hAnsi="Arial" w:cs="Arial"/>
          <w:u w:val="single"/>
        </w:rPr>
        <w:t>Studnie kablowe:</w:t>
      </w:r>
    </w:p>
    <w:p w14:paraId="50D8CDB2" w14:textId="4A029C03" w:rsidR="003B7A3B" w:rsidRPr="00F90EBF" w:rsidRDefault="003B7A3B" w:rsidP="00F90EBF">
      <w:pPr>
        <w:rPr>
          <w:rFonts w:ascii="Arial" w:hAnsi="Arial" w:cs="Arial"/>
        </w:rPr>
      </w:pPr>
      <w:r w:rsidRPr="00F90EBF">
        <w:rPr>
          <w:rFonts w:ascii="Arial" w:hAnsi="Arial" w:cs="Arial"/>
          <w:color w:val="auto"/>
        </w:rPr>
        <w:t>Układ studni teletechnicznych</w:t>
      </w:r>
      <w:r w:rsidR="003D1207" w:rsidRPr="00F90EBF">
        <w:rPr>
          <w:rFonts w:ascii="Arial" w:hAnsi="Arial" w:cs="Arial"/>
          <w:color w:val="auto"/>
        </w:rPr>
        <w:t xml:space="preserve"> p</w:t>
      </w:r>
      <w:r w:rsidRPr="00F90EBF">
        <w:rPr>
          <w:rFonts w:ascii="Arial" w:hAnsi="Arial" w:cs="Arial"/>
          <w:color w:val="auto"/>
        </w:rPr>
        <w:t>rojektuje się</w:t>
      </w:r>
      <w:r w:rsidR="003D1207" w:rsidRPr="00F90EBF">
        <w:rPr>
          <w:rFonts w:ascii="Arial" w:hAnsi="Arial" w:cs="Arial"/>
          <w:color w:val="auto"/>
        </w:rPr>
        <w:t xml:space="preserve"> z</w:t>
      </w:r>
      <w:r w:rsidRPr="00F90EBF">
        <w:rPr>
          <w:rFonts w:ascii="Arial" w:hAnsi="Arial" w:cs="Arial"/>
          <w:color w:val="auto"/>
        </w:rPr>
        <w:t xml:space="preserve"> zastosowanie</w:t>
      </w:r>
      <w:r w:rsidR="003D1207" w:rsidRPr="00F90EBF">
        <w:rPr>
          <w:rFonts w:ascii="Arial" w:hAnsi="Arial" w:cs="Arial"/>
          <w:color w:val="auto"/>
        </w:rPr>
        <w:t>m</w:t>
      </w:r>
      <w:r w:rsidRPr="00F90EBF">
        <w:rPr>
          <w:rFonts w:ascii="Arial" w:hAnsi="Arial" w:cs="Arial"/>
          <w:color w:val="auto"/>
        </w:rPr>
        <w:t xml:space="preserve"> studni kablowych typu </w:t>
      </w:r>
      <w:r w:rsidRPr="00F90EBF">
        <w:rPr>
          <w:rFonts w:ascii="Arial" w:hAnsi="Arial" w:cs="Arial"/>
          <w:color w:val="auto"/>
        </w:rPr>
        <w:lastRenderedPageBreak/>
        <w:t>SK-1.</w:t>
      </w:r>
    </w:p>
    <w:p w14:paraId="560B25D7" w14:textId="12534A03" w:rsidR="003B7A3B" w:rsidRPr="00F90EBF" w:rsidRDefault="003B7A3B" w:rsidP="00F90EBF">
      <w:pPr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Studnie należy zlokalizować:</w:t>
      </w:r>
    </w:p>
    <w:p w14:paraId="04B78FFC" w14:textId="77777777" w:rsidR="003B7A3B" w:rsidRPr="00F90EBF" w:rsidRDefault="003B7A3B" w:rsidP="00F90EBF">
      <w:pPr>
        <w:pStyle w:val="Listapunktowana"/>
        <w:numPr>
          <w:ilvl w:val="0"/>
          <w:numId w:val="10"/>
        </w:numPr>
        <w:spacing w:before="60" w:after="60" w:line="240" w:lineRule="auto"/>
        <w:ind w:left="714" w:hanging="357"/>
        <w:rPr>
          <w:rFonts w:ascii="Arial" w:hAnsi="Arial" w:cs="Arial"/>
          <w:sz w:val="24"/>
          <w:szCs w:val="24"/>
          <w:lang w:val="pl-PL"/>
        </w:rPr>
      </w:pPr>
      <w:r w:rsidRPr="00F90EBF">
        <w:rPr>
          <w:rFonts w:ascii="Arial" w:hAnsi="Arial" w:cs="Arial"/>
          <w:sz w:val="24"/>
          <w:szCs w:val="24"/>
          <w:lang w:val="pl-PL"/>
        </w:rPr>
        <w:t>w narożnikach projektowanego obiektu,</w:t>
      </w:r>
    </w:p>
    <w:p w14:paraId="1C025CC1" w14:textId="77777777" w:rsidR="001713C9" w:rsidRPr="00F90EBF" w:rsidRDefault="003B7A3B" w:rsidP="00CB6729">
      <w:pPr>
        <w:pStyle w:val="Listapunktowana"/>
        <w:numPr>
          <w:ilvl w:val="0"/>
          <w:numId w:val="10"/>
        </w:numPr>
        <w:spacing w:before="60" w:after="120" w:line="240" w:lineRule="auto"/>
        <w:ind w:left="714" w:hanging="357"/>
        <w:rPr>
          <w:rFonts w:ascii="Arial" w:hAnsi="Arial" w:cs="Arial"/>
          <w:sz w:val="24"/>
          <w:szCs w:val="24"/>
          <w:lang w:val="pl-PL"/>
        </w:rPr>
      </w:pPr>
      <w:r w:rsidRPr="00F90EBF">
        <w:rPr>
          <w:rFonts w:ascii="Arial" w:hAnsi="Arial" w:cs="Arial"/>
          <w:sz w:val="24"/>
          <w:szCs w:val="24"/>
          <w:lang w:val="pl-PL"/>
        </w:rPr>
        <w:t>przy każdym projektowanym słupie oświetleniowym.</w:t>
      </w:r>
    </w:p>
    <w:p w14:paraId="25EB0FD9" w14:textId="77777777" w:rsidR="001713C9" w:rsidRPr="00F90EBF" w:rsidRDefault="003B7A3B" w:rsidP="00CB6729">
      <w:pPr>
        <w:pStyle w:val="Listapunktowana"/>
        <w:spacing w:before="120" w:after="0" w:line="240" w:lineRule="auto"/>
        <w:rPr>
          <w:rFonts w:ascii="Arial" w:hAnsi="Arial" w:cs="Arial"/>
          <w:sz w:val="24"/>
          <w:szCs w:val="24"/>
          <w:lang w:val="pl-PL"/>
        </w:rPr>
      </w:pPr>
      <w:r w:rsidRPr="00F90EBF">
        <w:rPr>
          <w:rFonts w:ascii="Arial" w:hAnsi="Arial" w:cs="Arial"/>
          <w:sz w:val="24"/>
          <w:szCs w:val="24"/>
          <w:lang w:val="pl-PL"/>
        </w:rPr>
        <w:t>Stud</w:t>
      </w:r>
      <w:r w:rsidR="001713C9" w:rsidRPr="00F90EBF">
        <w:rPr>
          <w:rFonts w:ascii="Arial" w:hAnsi="Arial" w:cs="Arial"/>
          <w:sz w:val="24"/>
          <w:szCs w:val="24"/>
          <w:lang w:val="pl-PL"/>
        </w:rPr>
        <w:t xml:space="preserve">nie </w:t>
      </w:r>
      <w:r w:rsidRPr="00F90EBF">
        <w:rPr>
          <w:rFonts w:ascii="Arial" w:hAnsi="Arial" w:cs="Arial"/>
          <w:sz w:val="24"/>
          <w:szCs w:val="24"/>
          <w:lang w:val="pl-PL"/>
        </w:rPr>
        <w:t xml:space="preserve"> należy posadowić w sposób zapewniający stabilność konstrukcji, możliwość dostępu eksploatacyjnego oraz ochronę przed zalewaniem wodą.</w:t>
      </w:r>
    </w:p>
    <w:p w14:paraId="7C766ED7" w14:textId="77777777" w:rsidR="001713C9" w:rsidRPr="00F90EBF" w:rsidRDefault="003B7A3B" w:rsidP="00F90EBF">
      <w:pPr>
        <w:pStyle w:val="Listapunktowana"/>
        <w:spacing w:after="0" w:line="240" w:lineRule="auto"/>
        <w:rPr>
          <w:rFonts w:ascii="Arial" w:hAnsi="Arial" w:cs="Arial"/>
          <w:sz w:val="24"/>
          <w:szCs w:val="24"/>
          <w:lang w:val="pl-PL"/>
        </w:rPr>
      </w:pPr>
      <w:r w:rsidRPr="00F90EBF">
        <w:rPr>
          <w:rFonts w:ascii="Arial" w:hAnsi="Arial" w:cs="Arial"/>
          <w:sz w:val="24"/>
          <w:szCs w:val="24"/>
          <w:lang w:val="pl-PL"/>
        </w:rPr>
        <w:t>Studnie powinny posiadać prefabrykowaną konstrukcję betonową lub tworzywową, być wyposażone w pokrywy dostosowane do przewidywanego obciążenia oraz posiadać uszczelnione przepusty kablowe.</w:t>
      </w:r>
    </w:p>
    <w:p w14:paraId="276760C4" w14:textId="32803B79" w:rsidR="003B7A3B" w:rsidRPr="00F90EBF" w:rsidRDefault="003B7A3B" w:rsidP="00F90EBF">
      <w:pPr>
        <w:pStyle w:val="Listapunktowana"/>
        <w:spacing w:after="0" w:line="240" w:lineRule="auto"/>
        <w:rPr>
          <w:rFonts w:ascii="Arial" w:hAnsi="Arial" w:cs="Arial"/>
          <w:sz w:val="24"/>
          <w:szCs w:val="24"/>
          <w:lang w:val="pl-PL"/>
        </w:rPr>
      </w:pPr>
      <w:r w:rsidRPr="00F90EBF">
        <w:rPr>
          <w:rFonts w:ascii="Arial" w:hAnsi="Arial" w:cs="Arial"/>
          <w:sz w:val="24"/>
          <w:szCs w:val="24"/>
          <w:lang w:val="pl-PL"/>
        </w:rPr>
        <w:t>Dno studni wykonać z warstwą odsączającą (np. 10 cm żwiru).</w:t>
      </w:r>
    </w:p>
    <w:p w14:paraId="1E0E21E1" w14:textId="3F7B71A6" w:rsidR="003B7A3B" w:rsidRPr="00F90EBF" w:rsidRDefault="003B7A3B" w:rsidP="00F90EBF">
      <w:pPr>
        <w:pStyle w:val="Nagwek2"/>
        <w:spacing w:before="240" w:after="0"/>
        <w:rPr>
          <w:rFonts w:ascii="Arial" w:hAnsi="Arial" w:cs="Arial"/>
          <w:color w:val="auto"/>
          <w:sz w:val="24"/>
          <w:szCs w:val="24"/>
          <w:u w:val="single"/>
        </w:rPr>
      </w:pPr>
      <w:r w:rsidRPr="00F90EBF">
        <w:rPr>
          <w:rFonts w:ascii="Arial" w:hAnsi="Arial" w:cs="Arial"/>
          <w:color w:val="auto"/>
          <w:sz w:val="24"/>
          <w:szCs w:val="24"/>
          <w:u w:val="single"/>
        </w:rPr>
        <w:t>Kanalizacja teletechniczna – rurociągi:</w:t>
      </w:r>
    </w:p>
    <w:p w14:paraId="1F367F72" w14:textId="77777777" w:rsidR="003B7A3B" w:rsidRPr="00F90EBF" w:rsidRDefault="003B7A3B" w:rsidP="00F90EBF">
      <w:pPr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Projektuje się kanalizację 2-otworową wykonaną z rur typu AROT (karbowane, dwuścienne) o minimalnej średnicy Ø 90 mm.</w:t>
      </w:r>
    </w:p>
    <w:p w14:paraId="08C3EF91" w14:textId="77777777" w:rsidR="003B7A3B" w:rsidRPr="00F90EBF" w:rsidRDefault="003B7A3B" w:rsidP="00F90EBF">
      <w:pPr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Rury powinny posiadać odpowiednią sztywność obwodową (min. SN8), być przystosowane do układania w gruncie oraz odporne na wilgoć i czynniki chemiczne.</w:t>
      </w:r>
    </w:p>
    <w:p w14:paraId="2564F88C" w14:textId="60882EC9" w:rsidR="00F41A28" w:rsidRPr="00F90EBF" w:rsidRDefault="003B7A3B" w:rsidP="00F90EBF">
      <w:pPr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Rury należy układać w jednym wykopie, równolegle, z zachowaniem odstępu umożliwiającego prawidłowe zagęszczenie gruntu.</w:t>
      </w:r>
    </w:p>
    <w:p w14:paraId="50D250FD" w14:textId="77FFA4DF" w:rsidR="003B7A3B" w:rsidRPr="00F90EBF" w:rsidRDefault="003B7A3B" w:rsidP="00F90EBF">
      <w:pPr>
        <w:spacing w:before="240"/>
        <w:rPr>
          <w:rFonts w:ascii="Arial" w:hAnsi="Arial" w:cs="Arial"/>
          <w:color w:val="auto"/>
          <w:u w:val="single"/>
        </w:rPr>
      </w:pPr>
      <w:r w:rsidRPr="00F90EBF">
        <w:rPr>
          <w:rFonts w:ascii="Arial" w:hAnsi="Arial" w:cs="Arial"/>
          <w:color w:val="auto"/>
          <w:u w:val="single"/>
        </w:rPr>
        <w:t>Podejścia do słupów oświetleniowych:</w:t>
      </w:r>
    </w:p>
    <w:p w14:paraId="2F79D8FF" w14:textId="77777777" w:rsidR="003B7A3B" w:rsidRPr="00F90EBF" w:rsidRDefault="003B7A3B" w:rsidP="00F90EBF">
      <w:pPr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Wejścia do słupów oświetleniowych należy wykonać rurą typu AROT o minimalnej średnicy Ø 50 mm.</w:t>
      </w:r>
    </w:p>
    <w:p w14:paraId="7086755E" w14:textId="77777777" w:rsidR="003B7A3B" w:rsidRPr="00F90EBF" w:rsidRDefault="003B7A3B" w:rsidP="00F90EBF">
      <w:pPr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Rurę należy wprowadzić bezpośrednio do fundamentu słupa, z wyprowadzeniem min. 0,5 m zapasu kabla oraz zabezpieczeniem przed dostawaniem się wody.</w:t>
      </w:r>
    </w:p>
    <w:p w14:paraId="715182F8" w14:textId="77777777" w:rsidR="003B7A3B" w:rsidRPr="00F90EBF" w:rsidRDefault="003B7A3B" w:rsidP="00F90EBF">
      <w:pPr>
        <w:pStyle w:val="Nagwek2"/>
        <w:spacing w:before="240" w:after="0"/>
        <w:rPr>
          <w:rFonts w:ascii="Arial" w:hAnsi="Arial" w:cs="Arial"/>
          <w:color w:val="auto"/>
          <w:sz w:val="24"/>
          <w:szCs w:val="24"/>
          <w:u w:val="single"/>
        </w:rPr>
      </w:pPr>
      <w:r w:rsidRPr="00F90EBF">
        <w:rPr>
          <w:rFonts w:ascii="Arial" w:hAnsi="Arial" w:cs="Arial"/>
          <w:color w:val="auto"/>
          <w:sz w:val="24"/>
          <w:szCs w:val="24"/>
          <w:u w:val="single"/>
        </w:rPr>
        <w:t>Głębokość ułożenia kanalizacji:</w:t>
      </w:r>
    </w:p>
    <w:p w14:paraId="0EFA323A" w14:textId="77777777" w:rsidR="003B7A3B" w:rsidRPr="00F90EBF" w:rsidRDefault="003B7A3B" w:rsidP="00F90EBF">
      <w:pPr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Rury należy układać na następujących głębokościach (od poziomu terenu do wierzchu rury):</w:t>
      </w:r>
    </w:p>
    <w:p w14:paraId="2F6592F8" w14:textId="77777777" w:rsidR="003B7A3B" w:rsidRPr="00F90EBF" w:rsidRDefault="003B7A3B" w:rsidP="00F90EBF">
      <w:pPr>
        <w:pStyle w:val="Listapunktowana"/>
        <w:numPr>
          <w:ilvl w:val="0"/>
          <w:numId w:val="8"/>
        </w:numPr>
        <w:spacing w:before="60" w:after="60" w:line="240" w:lineRule="auto"/>
        <w:ind w:left="714" w:hanging="357"/>
        <w:rPr>
          <w:rFonts w:ascii="Arial" w:hAnsi="Arial" w:cs="Arial"/>
          <w:sz w:val="24"/>
          <w:szCs w:val="24"/>
          <w:lang w:val="pl-PL"/>
        </w:rPr>
      </w:pPr>
      <w:r w:rsidRPr="00F90EBF">
        <w:rPr>
          <w:rFonts w:ascii="Arial" w:hAnsi="Arial" w:cs="Arial"/>
          <w:sz w:val="24"/>
          <w:szCs w:val="24"/>
          <w:lang w:val="pl-PL"/>
        </w:rPr>
        <w:t>min. 0,7 m – w terenach zielonych,</w:t>
      </w:r>
    </w:p>
    <w:p w14:paraId="66C3FAE6" w14:textId="77777777" w:rsidR="003B7A3B" w:rsidRPr="00F90EBF" w:rsidRDefault="003B7A3B" w:rsidP="00F90EBF">
      <w:pPr>
        <w:pStyle w:val="Listapunktowana"/>
        <w:numPr>
          <w:ilvl w:val="0"/>
          <w:numId w:val="8"/>
        </w:numPr>
        <w:spacing w:before="60" w:after="60" w:line="240" w:lineRule="auto"/>
        <w:ind w:left="714" w:hanging="357"/>
        <w:rPr>
          <w:rFonts w:ascii="Arial" w:hAnsi="Arial" w:cs="Arial"/>
          <w:sz w:val="24"/>
          <w:szCs w:val="24"/>
          <w:lang w:val="pl-PL"/>
        </w:rPr>
      </w:pPr>
      <w:r w:rsidRPr="00F90EBF">
        <w:rPr>
          <w:rFonts w:ascii="Arial" w:hAnsi="Arial" w:cs="Arial"/>
          <w:sz w:val="24"/>
          <w:szCs w:val="24"/>
          <w:lang w:val="pl-PL"/>
        </w:rPr>
        <w:t>min. 0,8 m – pod ciągami pieszymi,</w:t>
      </w:r>
    </w:p>
    <w:p w14:paraId="077D3C59" w14:textId="77777777" w:rsidR="003B7A3B" w:rsidRPr="00F90EBF" w:rsidRDefault="003B7A3B" w:rsidP="00F90EBF">
      <w:pPr>
        <w:pStyle w:val="Listapunktowana"/>
        <w:numPr>
          <w:ilvl w:val="0"/>
          <w:numId w:val="8"/>
        </w:numPr>
        <w:spacing w:before="60" w:after="60" w:line="240" w:lineRule="auto"/>
        <w:ind w:left="714" w:hanging="357"/>
        <w:rPr>
          <w:rFonts w:ascii="Arial" w:hAnsi="Arial" w:cs="Arial"/>
          <w:sz w:val="24"/>
          <w:szCs w:val="24"/>
          <w:lang w:val="pl-PL"/>
        </w:rPr>
      </w:pPr>
      <w:r w:rsidRPr="00F90EBF">
        <w:rPr>
          <w:rFonts w:ascii="Arial" w:hAnsi="Arial" w:cs="Arial"/>
          <w:sz w:val="24"/>
          <w:szCs w:val="24"/>
          <w:lang w:val="pl-PL"/>
        </w:rPr>
        <w:t>min. 1,0 m – pod jezdniami i wjazdami.</w:t>
      </w:r>
    </w:p>
    <w:p w14:paraId="7FB19869" w14:textId="6377BFCA" w:rsidR="00FC2FEF" w:rsidRPr="00F90EBF" w:rsidRDefault="003B7A3B" w:rsidP="00F90EBF">
      <w:pPr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W przypadku kolizji z innym uzbrojeniem podziemnym dopuszcza się lokalne zmiany głębokości przy zachowaniu minimalnych odległości normowych.</w:t>
      </w:r>
    </w:p>
    <w:p w14:paraId="71C92817" w14:textId="0405A25F" w:rsidR="003B7A3B" w:rsidRPr="00F90EBF" w:rsidRDefault="003B7A3B" w:rsidP="00F90EBF">
      <w:pPr>
        <w:spacing w:before="240" w:after="120"/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  <w:u w:val="single"/>
        </w:rPr>
        <w:t>Konstrukcja wykopu i zasypki:</w:t>
      </w:r>
    </w:p>
    <w:p w14:paraId="4D13FD1B" w14:textId="77777777" w:rsidR="003B7A3B" w:rsidRPr="00F90EBF" w:rsidRDefault="003B7A3B" w:rsidP="00F90EBF">
      <w:pPr>
        <w:pStyle w:val="Akapitzlist"/>
        <w:numPr>
          <w:ilvl w:val="0"/>
          <w:numId w:val="7"/>
        </w:numPr>
        <w:spacing w:before="60" w:after="60"/>
        <w:ind w:left="714" w:hanging="357"/>
        <w:contextualSpacing w:val="0"/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Wykop wykonać jako wąsko przestrzenny.</w:t>
      </w:r>
    </w:p>
    <w:p w14:paraId="12E1CD4D" w14:textId="77777777" w:rsidR="003B7A3B" w:rsidRPr="00F90EBF" w:rsidRDefault="003B7A3B" w:rsidP="00F90EBF">
      <w:pPr>
        <w:pStyle w:val="Akapitzlist"/>
        <w:numPr>
          <w:ilvl w:val="0"/>
          <w:numId w:val="7"/>
        </w:numPr>
        <w:spacing w:before="60" w:after="60"/>
        <w:ind w:left="714" w:hanging="357"/>
        <w:contextualSpacing w:val="0"/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Dno wykopu oczyścić i wyrównać.</w:t>
      </w:r>
    </w:p>
    <w:p w14:paraId="7B8DCA4D" w14:textId="77777777" w:rsidR="003B7A3B" w:rsidRPr="00F90EBF" w:rsidRDefault="003B7A3B" w:rsidP="00F90EBF">
      <w:pPr>
        <w:pStyle w:val="Akapitzlist"/>
        <w:numPr>
          <w:ilvl w:val="0"/>
          <w:numId w:val="7"/>
        </w:numPr>
        <w:spacing w:before="60" w:after="60"/>
        <w:ind w:left="714" w:hanging="357"/>
        <w:contextualSpacing w:val="0"/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Wykonać podsypkę piaskową grubości min. 10 cm.</w:t>
      </w:r>
    </w:p>
    <w:p w14:paraId="0996E92E" w14:textId="77777777" w:rsidR="003B7A3B" w:rsidRPr="00F90EBF" w:rsidRDefault="003B7A3B" w:rsidP="00F90EBF">
      <w:pPr>
        <w:pStyle w:val="Akapitzlist"/>
        <w:numPr>
          <w:ilvl w:val="0"/>
          <w:numId w:val="7"/>
        </w:numPr>
        <w:spacing w:before="60" w:after="60"/>
        <w:ind w:left="714" w:hanging="357"/>
        <w:contextualSpacing w:val="0"/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Ułożyć rury z zachowaniem spadku min. 0,5% w kierunku studni.</w:t>
      </w:r>
    </w:p>
    <w:p w14:paraId="7D7C5144" w14:textId="77777777" w:rsidR="003B7A3B" w:rsidRPr="00F90EBF" w:rsidRDefault="003B7A3B" w:rsidP="00F90EBF">
      <w:pPr>
        <w:pStyle w:val="Akapitzlist"/>
        <w:numPr>
          <w:ilvl w:val="0"/>
          <w:numId w:val="7"/>
        </w:numPr>
        <w:spacing w:before="60" w:after="60"/>
        <w:ind w:left="714" w:hanging="357"/>
        <w:contextualSpacing w:val="0"/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Obsypać rury piaskiem min. 10 cm nad wierzchem rury i zagęścić warstwowo.</w:t>
      </w:r>
    </w:p>
    <w:p w14:paraId="25468974" w14:textId="77777777" w:rsidR="003B7A3B" w:rsidRPr="00F90EBF" w:rsidRDefault="003B7A3B" w:rsidP="00F90EBF">
      <w:pPr>
        <w:pStyle w:val="Akapitzlist"/>
        <w:numPr>
          <w:ilvl w:val="0"/>
          <w:numId w:val="7"/>
        </w:numPr>
        <w:spacing w:before="60" w:after="60"/>
        <w:ind w:left="714" w:hanging="357"/>
        <w:contextualSpacing w:val="0"/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Na wysokości ok. 30 cm nad rurą ułożyć taśmę ostrzegawczą koloru pomarańczowego z napisem „KABEL TELETECHNICZNY”.</w:t>
      </w:r>
    </w:p>
    <w:p w14:paraId="351AD4F4" w14:textId="673C248D" w:rsidR="00FC2FEF" w:rsidRPr="00F90EBF" w:rsidRDefault="003B7A3B" w:rsidP="00F90EBF">
      <w:pPr>
        <w:pStyle w:val="Akapitzlist"/>
        <w:numPr>
          <w:ilvl w:val="0"/>
          <w:numId w:val="7"/>
        </w:numPr>
        <w:spacing w:before="60" w:after="240"/>
        <w:ind w:left="714" w:hanging="357"/>
        <w:contextualSpacing w:val="0"/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Wykop zasypać gruntem rodzimym warstwowo z zagęszczeniem.</w:t>
      </w:r>
    </w:p>
    <w:p w14:paraId="7BE1A39E" w14:textId="19C1A670" w:rsidR="003B7A3B" w:rsidRPr="00F90EBF" w:rsidRDefault="003B7A3B" w:rsidP="00F90EBF">
      <w:pPr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  <w:u w:val="single"/>
        </w:rPr>
        <w:t>Odległości od innych instalacji:</w:t>
      </w:r>
    </w:p>
    <w:p w14:paraId="7FCAFDE8" w14:textId="77777777" w:rsidR="001713C9" w:rsidRPr="00F90EBF" w:rsidRDefault="003B7A3B" w:rsidP="00F90EBF">
      <w:pPr>
        <w:pStyle w:val="Nagwek2"/>
        <w:numPr>
          <w:ilvl w:val="0"/>
          <w:numId w:val="21"/>
        </w:numPr>
        <w:spacing w:before="60" w:after="60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F90EBF">
        <w:rPr>
          <w:rFonts w:ascii="Arial" w:hAnsi="Arial" w:cs="Arial"/>
          <w:color w:val="auto"/>
          <w:sz w:val="24"/>
          <w:szCs w:val="24"/>
        </w:rPr>
        <w:lastRenderedPageBreak/>
        <w:t>od kabli energetycznych – min. 0,1–0,3 m,</w:t>
      </w:r>
    </w:p>
    <w:p w14:paraId="5E9685D9" w14:textId="0C750199" w:rsidR="003B7A3B" w:rsidRPr="00F90EBF" w:rsidRDefault="003B7A3B" w:rsidP="00F90EBF">
      <w:pPr>
        <w:pStyle w:val="Nagwek2"/>
        <w:numPr>
          <w:ilvl w:val="0"/>
          <w:numId w:val="21"/>
        </w:numPr>
        <w:spacing w:before="60" w:after="60"/>
        <w:ind w:left="714" w:hanging="357"/>
        <w:rPr>
          <w:rFonts w:ascii="Arial" w:hAnsi="Arial" w:cs="Arial"/>
          <w:color w:val="auto"/>
          <w:sz w:val="24"/>
          <w:szCs w:val="24"/>
        </w:rPr>
      </w:pPr>
      <w:r w:rsidRPr="00F90EBF">
        <w:rPr>
          <w:rFonts w:ascii="Arial" w:hAnsi="Arial" w:cs="Arial"/>
          <w:color w:val="auto"/>
          <w:sz w:val="24"/>
          <w:szCs w:val="24"/>
        </w:rPr>
        <w:t>od wodociągu i kanalizacji – min. 0,3 m,</w:t>
      </w:r>
    </w:p>
    <w:p w14:paraId="4F99B9F0" w14:textId="77777777" w:rsidR="003B7A3B" w:rsidRPr="00F90EBF" w:rsidRDefault="003B7A3B" w:rsidP="00F90EBF">
      <w:pPr>
        <w:pStyle w:val="Listapunktowana"/>
        <w:numPr>
          <w:ilvl w:val="0"/>
          <w:numId w:val="21"/>
        </w:numPr>
        <w:spacing w:before="60" w:after="60" w:line="240" w:lineRule="auto"/>
        <w:ind w:left="714" w:hanging="357"/>
        <w:rPr>
          <w:rFonts w:ascii="Arial" w:hAnsi="Arial" w:cs="Arial"/>
          <w:sz w:val="24"/>
          <w:szCs w:val="24"/>
          <w:lang w:val="pl-PL"/>
        </w:rPr>
      </w:pPr>
      <w:r w:rsidRPr="00F90EBF">
        <w:rPr>
          <w:rFonts w:ascii="Arial" w:hAnsi="Arial" w:cs="Arial"/>
          <w:sz w:val="24"/>
          <w:szCs w:val="24"/>
          <w:lang w:val="pl-PL"/>
        </w:rPr>
        <w:t>od gazociągu – min. 0,5 m.</w:t>
      </w:r>
    </w:p>
    <w:p w14:paraId="57AE7B48" w14:textId="09531E6D" w:rsidR="00FC2FEF" w:rsidRPr="00F90EBF" w:rsidRDefault="003B7A3B" w:rsidP="00F90EBF">
      <w:pPr>
        <w:spacing w:after="240"/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Skrzyżowania wykonać pod kątem zbliżonym do 90°.</w:t>
      </w:r>
    </w:p>
    <w:p w14:paraId="3D3421F1" w14:textId="431D5764" w:rsidR="003B7A3B" w:rsidRPr="00F90EBF" w:rsidRDefault="003B7A3B" w:rsidP="00F90EBF">
      <w:pPr>
        <w:pStyle w:val="Nagwek2"/>
        <w:spacing w:before="0" w:after="0"/>
        <w:rPr>
          <w:rFonts w:ascii="Arial" w:hAnsi="Arial" w:cs="Arial"/>
          <w:color w:val="auto"/>
          <w:sz w:val="24"/>
          <w:szCs w:val="24"/>
          <w:u w:val="single"/>
        </w:rPr>
      </w:pPr>
      <w:r w:rsidRPr="00F90EBF">
        <w:rPr>
          <w:rFonts w:ascii="Arial" w:hAnsi="Arial" w:cs="Arial"/>
          <w:color w:val="auto"/>
          <w:sz w:val="24"/>
          <w:szCs w:val="24"/>
          <w:u w:val="single"/>
        </w:rPr>
        <w:t>Oznakowanie i dokumentacja powykonawcza</w:t>
      </w:r>
      <w:r w:rsidR="001713C9" w:rsidRPr="00F90EBF">
        <w:rPr>
          <w:rFonts w:ascii="Arial" w:hAnsi="Arial" w:cs="Arial"/>
          <w:color w:val="auto"/>
          <w:sz w:val="24"/>
          <w:szCs w:val="24"/>
          <w:u w:val="single"/>
        </w:rPr>
        <w:t>:</w:t>
      </w:r>
    </w:p>
    <w:p w14:paraId="648EFDE0" w14:textId="54C2EFF9" w:rsidR="00FC2FEF" w:rsidRPr="00F90EBF" w:rsidRDefault="003B7A3B" w:rsidP="00F90EBF">
      <w:pPr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Po wykonaniu kanalizacji należy wykonać geodezyjną inwentaryzację powykonawczą, sporządzić dokumentację powykonawczą oraz oznaczyć trasę kanalizacji w dokumentacji branżowej.</w:t>
      </w:r>
    </w:p>
    <w:p w14:paraId="3D47B56C" w14:textId="5BBC5ED5" w:rsidR="003B7A3B" w:rsidRPr="00F90EBF" w:rsidRDefault="003B7A3B" w:rsidP="00CB6729">
      <w:pPr>
        <w:pStyle w:val="Nagwek2"/>
        <w:spacing w:before="120" w:after="0"/>
        <w:rPr>
          <w:rFonts w:ascii="Arial" w:hAnsi="Arial" w:cs="Arial"/>
          <w:color w:val="auto"/>
          <w:sz w:val="24"/>
          <w:szCs w:val="24"/>
          <w:u w:val="single"/>
        </w:rPr>
      </w:pPr>
      <w:r w:rsidRPr="00F90EBF">
        <w:rPr>
          <w:rFonts w:ascii="Arial" w:hAnsi="Arial" w:cs="Arial"/>
          <w:color w:val="auto"/>
          <w:sz w:val="24"/>
          <w:szCs w:val="24"/>
          <w:u w:val="single"/>
        </w:rPr>
        <w:t>Wymagania wykonawcze</w:t>
      </w:r>
      <w:r w:rsidR="00FC2FEF" w:rsidRPr="00F90EBF">
        <w:rPr>
          <w:rFonts w:ascii="Arial" w:hAnsi="Arial" w:cs="Arial"/>
          <w:color w:val="auto"/>
          <w:sz w:val="24"/>
          <w:szCs w:val="24"/>
          <w:u w:val="single"/>
        </w:rPr>
        <w:t>:</w:t>
      </w:r>
    </w:p>
    <w:p w14:paraId="5C2534FB" w14:textId="1047A855" w:rsidR="003B7A3B" w:rsidRPr="00F90EBF" w:rsidRDefault="003B7A3B" w:rsidP="00F90EBF">
      <w:pPr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Prace prowadzić zgodnie z obowiązującymi normami i przepisami.</w:t>
      </w:r>
    </w:p>
    <w:p w14:paraId="1A6E59E7" w14:textId="77777777" w:rsidR="003B7A3B" w:rsidRPr="00F90EBF" w:rsidRDefault="003B7A3B" w:rsidP="00F90EBF">
      <w:pPr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Roboty ziemne wykonywać ręcznie w pobliżu istniejącego uzbrojenia.</w:t>
      </w:r>
    </w:p>
    <w:p w14:paraId="167BBFCC" w14:textId="77777777" w:rsidR="003B7A3B" w:rsidRPr="00F90EBF" w:rsidRDefault="003B7A3B" w:rsidP="00F90EBF">
      <w:pPr>
        <w:rPr>
          <w:rFonts w:ascii="Arial" w:hAnsi="Arial" w:cs="Arial"/>
          <w:color w:val="auto"/>
        </w:rPr>
      </w:pPr>
      <w:r w:rsidRPr="00F90EBF">
        <w:rPr>
          <w:rFonts w:ascii="Arial" w:hAnsi="Arial" w:cs="Arial"/>
          <w:color w:val="auto"/>
        </w:rPr>
        <w:t>Przed zasypaniem dokonać odbioru technicznego trasy.</w:t>
      </w:r>
    </w:p>
    <w:p w14:paraId="2BA8D226" w14:textId="557CFC05" w:rsidR="003B7A3B" w:rsidRPr="00F90EBF" w:rsidRDefault="003B7A3B" w:rsidP="00CB6729">
      <w:pPr>
        <w:spacing w:after="240"/>
        <w:rPr>
          <w:rStyle w:val="CharStyle8"/>
          <w:rFonts w:ascii="Arial" w:hAnsi="Arial" w:cs="Arial"/>
          <w:color w:val="auto"/>
          <w:sz w:val="24"/>
          <w:szCs w:val="24"/>
        </w:rPr>
      </w:pPr>
      <w:r w:rsidRPr="00F90EBF">
        <w:rPr>
          <w:rFonts w:ascii="Arial" w:hAnsi="Arial" w:cs="Arial"/>
          <w:color w:val="auto"/>
        </w:rPr>
        <w:t>Sprawdzić drożność kanalizacji poprzez przeciągnięcie pilota.</w:t>
      </w:r>
    </w:p>
    <w:p w14:paraId="7954A2B9" w14:textId="77777777" w:rsidR="003B7A3B" w:rsidRPr="00F90EBF" w:rsidRDefault="003B7A3B" w:rsidP="00F90EBF">
      <w:pPr>
        <w:pStyle w:val="Style10"/>
        <w:keepNext/>
        <w:keepLines/>
        <w:spacing w:after="0"/>
        <w:rPr>
          <w:b w:val="0"/>
          <w:bCs w:val="0"/>
          <w:sz w:val="24"/>
          <w:szCs w:val="24"/>
        </w:rPr>
      </w:pPr>
      <w:bookmarkStart w:id="5" w:name="bookmark16"/>
      <w:r w:rsidRPr="00F90EBF">
        <w:rPr>
          <w:rStyle w:val="CharStyle11"/>
          <w:b/>
          <w:bCs/>
          <w:color w:val="000000"/>
          <w:sz w:val="24"/>
          <w:szCs w:val="24"/>
          <w:u w:val="single"/>
          <w:lang w:eastAsia="pl-PL"/>
        </w:rPr>
        <w:t>Wymagania szczegółowe dotyczące tabliczek informacyjnych:</w:t>
      </w:r>
      <w:bookmarkEnd w:id="5"/>
    </w:p>
    <w:p w14:paraId="3EF38DDD" w14:textId="77777777" w:rsidR="003B7A3B" w:rsidRPr="00F90EBF" w:rsidRDefault="003B7A3B" w:rsidP="00F90EBF">
      <w:pPr>
        <w:pStyle w:val="Style7"/>
        <w:numPr>
          <w:ilvl w:val="0"/>
          <w:numId w:val="3"/>
        </w:numPr>
        <w:tabs>
          <w:tab w:val="left" w:pos="410"/>
        </w:tabs>
        <w:spacing w:after="0"/>
        <w:ind w:left="440" w:hanging="44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Tablice informacyjne dotyczące obiektów gazowniczych muszą być wykonane zgodnie z zasadami określonymi w obowiązującej w PSG Księdze Identyfikacji Wizualnej. Zamawiający udostępni potrzebne informacje.</w:t>
      </w:r>
    </w:p>
    <w:p w14:paraId="20963E77" w14:textId="77777777" w:rsidR="003B7A3B" w:rsidRPr="00F90EBF" w:rsidRDefault="003B7A3B" w:rsidP="00F90EBF">
      <w:pPr>
        <w:pStyle w:val="Style7"/>
        <w:numPr>
          <w:ilvl w:val="0"/>
          <w:numId w:val="3"/>
        </w:numPr>
        <w:tabs>
          <w:tab w:val="left" w:pos="410"/>
        </w:tabs>
        <w:spacing w:after="0"/>
        <w:ind w:left="440" w:hanging="44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Tablice informacyjne powinny być zamontowane na froncie ogrodzenia obiektu technologicznego, wzdłuż głównego ciągu komunikacyjnego, zgodnie z zasadą jedna tablica na jeden obiekt.</w:t>
      </w:r>
    </w:p>
    <w:p w14:paraId="3EE71347" w14:textId="77777777" w:rsidR="003B7A3B" w:rsidRPr="00F90EBF" w:rsidRDefault="003B7A3B" w:rsidP="00F90EBF">
      <w:pPr>
        <w:pStyle w:val="Style7"/>
        <w:numPr>
          <w:ilvl w:val="0"/>
          <w:numId w:val="3"/>
        </w:numPr>
        <w:tabs>
          <w:tab w:val="left" w:pos="410"/>
        </w:tabs>
        <w:spacing w:after="0"/>
        <w:ind w:left="440" w:hanging="44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Tablice winny być montowane za pomocą stalowych opasek zaciskowych, wkrętów, śrub lub nitów w sposób uniemożliwiający łatwy ich demontaż przez osoby trzecie.</w:t>
      </w:r>
    </w:p>
    <w:p w14:paraId="41DB5F89" w14:textId="77777777" w:rsidR="003B7A3B" w:rsidRPr="00F90EBF" w:rsidRDefault="003B7A3B" w:rsidP="00CB6729">
      <w:pPr>
        <w:pStyle w:val="Style7"/>
        <w:numPr>
          <w:ilvl w:val="0"/>
          <w:numId w:val="3"/>
        </w:numPr>
        <w:spacing w:after="0"/>
        <w:ind w:left="426" w:hanging="426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Montaż tablic po ich dodatkowym, trwałym przyklejeniu do twardych płyt PCV o grubości 5 mm.</w:t>
      </w:r>
    </w:p>
    <w:p w14:paraId="17ECF552" w14:textId="77777777" w:rsidR="003B7A3B" w:rsidRPr="00CB6729" w:rsidRDefault="003B7A3B" w:rsidP="00CB6729">
      <w:pPr>
        <w:pStyle w:val="Style7"/>
        <w:spacing w:before="120" w:after="60"/>
        <w:rPr>
          <w:sz w:val="24"/>
          <w:szCs w:val="24"/>
          <w:u w:val="single"/>
        </w:rPr>
      </w:pPr>
      <w:r w:rsidRPr="00CB6729">
        <w:rPr>
          <w:rStyle w:val="CharStyle8"/>
          <w:color w:val="000000"/>
          <w:sz w:val="24"/>
          <w:szCs w:val="24"/>
          <w:u w:val="single"/>
          <w:lang w:eastAsia="pl-PL"/>
        </w:rPr>
        <w:t>Tablice informacyjne powinny zawierać:</w:t>
      </w:r>
    </w:p>
    <w:p w14:paraId="788C0980" w14:textId="77777777" w:rsidR="003B7A3B" w:rsidRPr="00F90EBF" w:rsidRDefault="003B7A3B" w:rsidP="00F90EBF">
      <w:pPr>
        <w:pStyle w:val="Style7"/>
        <w:numPr>
          <w:ilvl w:val="0"/>
          <w:numId w:val="3"/>
        </w:numPr>
        <w:tabs>
          <w:tab w:val="left" w:pos="418"/>
        </w:tabs>
        <w:spacing w:after="0"/>
        <w:rPr>
          <w:sz w:val="24"/>
          <w:szCs w:val="24"/>
        </w:rPr>
      </w:pPr>
      <w:bookmarkStart w:id="6" w:name="_Hlk227220706"/>
      <w:r w:rsidRPr="00F90EBF">
        <w:rPr>
          <w:rStyle w:val="CharStyle8"/>
          <w:color w:val="000000"/>
          <w:sz w:val="24"/>
          <w:szCs w:val="24"/>
          <w:lang w:eastAsia="pl-PL"/>
        </w:rPr>
        <w:t>Informację „Stacja gazowa – Nie zastawiać wjazdu”,</w:t>
      </w:r>
    </w:p>
    <w:p w14:paraId="61CA6584" w14:textId="2F0F80C5" w:rsidR="00A8409F" w:rsidRPr="00F90EBF" w:rsidRDefault="003B7A3B" w:rsidP="00F90EBF">
      <w:pPr>
        <w:pStyle w:val="Style7"/>
        <w:numPr>
          <w:ilvl w:val="0"/>
          <w:numId w:val="3"/>
        </w:numPr>
        <w:tabs>
          <w:tab w:val="left" w:pos="418"/>
        </w:tabs>
        <w:spacing w:after="0"/>
        <w:rPr>
          <w:rStyle w:val="CharStyle8"/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„Obiekt monitorowany”.</w:t>
      </w:r>
    </w:p>
    <w:bookmarkEnd w:id="6"/>
    <w:p w14:paraId="41CD559F" w14:textId="77777777" w:rsidR="001636EC" w:rsidRPr="00CB6729" w:rsidRDefault="003B7A3B" w:rsidP="00CB6729">
      <w:pPr>
        <w:pStyle w:val="Style7"/>
        <w:tabs>
          <w:tab w:val="left" w:pos="418"/>
        </w:tabs>
        <w:spacing w:before="120" w:after="60"/>
        <w:rPr>
          <w:rStyle w:val="CharStyle11"/>
          <w:b w:val="0"/>
          <w:bCs w:val="0"/>
          <w:color w:val="000000"/>
          <w:sz w:val="24"/>
          <w:szCs w:val="24"/>
          <w:u w:val="single"/>
          <w:lang w:eastAsia="pl-PL"/>
        </w:rPr>
      </w:pPr>
      <w:r w:rsidRPr="00CB6729">
        <w:rPr>
          <w:rStyle w:val="CharStyle11"/>
          <w:b w:val="0"/>
          <w:bCs w:val="0"/>
          <w:color w:val="000000"/>
          <w:sz w:val="24"/>
          <w:szCs w:val="24"/>
          <w:u w:val="single"/>
          <w:lang w:eastAsia="pl-PL"/>
        </w:rPr>
        <w:t>Tablice ostrzegawcze powinny zawierać:</w:t>
      </w:r>
    </w:p>
    <w:p w14:paraId="1DCD85CC" w14:textId="4F925A00" w:rsidR="00F41A28" w:rsidRPr="00F90EBF" w:rsidRDefault="0057279B" w:rsidP="00F90EBF">
      <w:pPr>
        <w:pStyle w:val="Style7"/>
        <w:numPr>
          <w:ilvl w:val="0"/>
          <w:numId w:val="3"/>
        </w:numPr>
        <w:tabs>
          <w:tab w:val="left" w:pos="418"/>
        </w:tabs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znak zakazu wstępu osobom nieupoważnionym</w:t>
      </w:r>
    </w:p>
    <w:p w14:paraId="7092996E" w14:textId="23405317" w:rsidR="00F41A28" w:rsidRPr="00F90EBF" w:rsidRDefault="0057279B" w:rsidP="00CB6729">
      <w:pPr>
        <w:pStyle w:val="Style7"/>
        <w:numPr>
          <w:ilvl w:val="0"/>
          <w:numId w:val="3"/>
        </w:numPr>
        <w:tabs>
          <w:tab w:val="left" w:pos="418"/>
        </w:tabs>
        <w:spacing w:after="120"/>
        <w:rPr>
          <w:rStyle w:val="CharStyle8"/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ogólny znak ostrzegawczy - ostrzeżenie o niebezpieczeństwie</w:t>
      </w:r>
      <w:r w:rsidR="00F41A28" w:rsidRPr="00F90EBF">
        <w:rPr>
          <w:rStyle w:val="CharStyle8"/>
          <w:color w:val="000000"/>
          <w:sz w:val="24"/>
          <w:szCs w:val="24"/>
          <w:lang w:eastAsia="pl-PL"/>
        </w:rPr>
        <w:t>.</w:t>
      </w:r>
    </w:p>
    <w:p w14:paraId="6114760F" w14:textId="77777777" w:rsidR="003B7A3B" w:rsidRPr="00F90EBF" w:rsidRDefault="003B7A3B" w:rsidP="00F90EBF">
      <w:pPr>
        <w:pStyle w:val="Style7"/>
        <w:spacing w:after="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Tablice ostrzegawcze zawierające znaki bezpieczeństwa powinny spełniać wymagania normy PN-ISO 3864-1:2006 – Symbole graficzne. Barwy bezpieczeństwa i znaki bezpieczeństwa – Część 1: Zasady projektowania znaków bezpieczeństwa stosowanych w miejscach pracy i w obszarach użyteczności publicznej.</w:t>
      </w:r>
    </w:p>
    <w:p w14:paraId="349A1A0D" w14:textId="36DD407B" w:rsidR="007B5FA8" w:rsidRPr="00F90EBF" w:rsidRDefault="003B7A3B" w:rsidP="00CB6729">
      <w:pPr>
        <w:pStyle w:val="Style7"/>
        <w:spacing w:after="240"/>
        <w:rPr>
          <w:sz w:val="24"/>
          <w:szCs w:val="24"/>
        </w:rPr>
      </w:pPr>
      <w:r w:rsidRPr="00F90EBF">
        <w:rPr>
          <w:rStyle w:val="CharStyle8"/>
          <w:color w:val="000000"/>
          <w:sz w:val="24"/>
          <w:szCs w:val="24"/>
          <w:lang w:eastAsia="pl-PL"/>
        </w:rPr>
        <w:t>Tablica powinna być płaska, wzmocniona i powinna zawierać nadruk solwentowy na folii zabezpieczonej laminatem z filtrem UV i zamontowana na metalowej, ocynkowanej blasze o grubości min. 1,5 mm.</w:t>
      </w:r>
    </w:p>
    <w:p w14:paraId="5F6460B8" w14:textId="77777777" w:rsidR="00C96730" w:rsidRPr="00F90EBF" w:rsidRDefault="00C96730" w:rsidP="00F90EBF">
      <w:pPr>
        <w:pStyle w:val="Style7"/>
        <w:spacing w:after="0"/>
        <w:rPr>
          <w:rStyle w:val="CharStyle8"/>
          <w:b/>
          <w:bCs/>
          <w:color w:val="000000"/>
          <w:sz w:val="24"/>
          <w:szCs w:val="24"/>
          <w:u w:val="single"/>
          <w:lang w:eastAsia="pl-PL"/>
        </w:rPr>
      </w:pPr>
      <w:r w:rsidRPr="00F90EBF">
        <w:rPr>
          <w:rStyle w:val="CharStyle8"/>
          <w:b/>
          <w:bCs/>
          <w:color w:val="000000"/>
          <w:sz w:val="24"/>
          <w:szCs w:val="24"/>
          <w:u w:val="single"/>
          <w:lang w:eastAsia="pl-PL"/>
        </w:rPr>
        <w:t>W ramach zamówienia wykonawca zobowiązuje się do:</w:t>
      </w:r>
    </w:p>
    <w:p w14:paraId="28DF5334" w14:textId="77777777" w:rsidR="00C96730" w:rsidRPr="00F90EBF" w:rsidRDefault="00C96730" w:rsidP="00F90EBF">
      <w:pPr>
        <w:pStyle w:val="Style7"/>
        <w:numPr>
          <w:ilvl w:val="0"/>
          <w:numId w:val="26"/>
        </w:numPr>
        <w:spacing w:after="0"/>
        <w:rPr>
          <w:sz w:val="24"/>
          <w:szCs w:val="24"/>
        </w:rPr>
      </w:pPr>
      <w:r w:rsidRPr="00F90EBF">
        <w:rPr>
          <w:sz w:val="24"/>
          <w:szCs w:val="24"/>
        </w:rPr>
        <w:t>Prowadzenie bezpłatnego serwisu gwarancyjnego w miejscu zamontowania systemów przez okres gwarancji wskazany w umowie;</w:t>
      </w:r>
    </w:p>
    <w:p w14:paraId="1A87BBFF" w14:textId="77777777" w:rsidR="00C96730" w:rsidRPr="00F90EBF" w:rsidRDefault="00C96730" w:rsidP="00F90EBF">
      <w:pPr>
        <w:pStyle w:val="Style7"/>
        <w:numPr>
          <w:ilvl w:val="0"/>
          <w:numId w:val="26"/>
        </w:numPr>
        <w:spacing w:after="0"/>
        <w:rPr>
          <w:sz w:val="24"/>
          <w:szCs w:val="24"/>
        </w:rPr>
      </w:pPr>
      <w:r w:rsidRPr="00F90EBF">
        <w:rPr>
          <w:sz w:val="24"/>
          <w:szCs w:val="24"/>
        </w:rPr>
        <w:t>Konserwacja zamontowanych urządzeń w czasie trwania gwarancji przynajmniej raz w roku – bezpłatnie;</w:t>
      </w:r>
    </w:p>
    <w:p w14:paraId="6443F1C3" w14:textId="77777777" w:rsidR="00C96730" w:rsidRPr="00F90EBF" w:rsidRDefault="00C96730" w:rsidP="00F90EBF">
      <w:pPr>
        <w:pStyle w:val="Style7"/>
        <w:numPr>
          <w:ilvl w:val="0"/>
          <w:numId w:val="26"/>
        </w:numPr>
        <w:spacing w:after="0"/>
        <w:rPr>
          <w:sz w:val="24"/>
          <w:szCs w:val="24"/>
        </w:rPr>
      </w:pPr>
      <w:r w:rsidRPr="00F90EBF">
        <w:rPr>
          <w:sz w:val="24"/>
          <w:szCs w:val="24"/>
        </w:rPr>
        <w:t>Skuteczna naprawa w ciągu 24 godzin od wezwania;</w:t>
      </w:r>
    </w:p>
    <w:p w14:paraId="1D9EB4A9" w14:textId="77777777" w:rsidR="00C96730" w:rsidRPr="00F90EBF" w:rsidRDefault="00C96730" w:rsidP="00F90EBF">
      <w:pPr>
        <w:pStyle w:val="Style7"/>
        <w:numPr>
          <w:ilvl w:val="0"/>
          <w:numId w:val="26"/>
        </w:numPr>
        <w:spacing w:after="0"/>
        <w:rPr>
          <w:sz w:val="24"/>
          <w:szCs w:val="24"/>
        </w:rPr>
      </w:pPr>
      <w:r w:rsidRPr="00F90EBF">
        <w:rPr>
          <w:sz w:val="24"/>
          <w:szCs w:val="24"/>
        </w:rPr>
        <w:t xml:space="preserve">Wykonawca jest zobowiązany w ramach Przedmiotu zamówienia zapewnić </w:t>
      </w:r>
      <w:r w:rsidRPr="00F90EBF">
        <w:rPr>
          <w:sz w:val="24"/>
          <w:szCs w:val="24"/>
        </w:rPr>
        <w:lastRenderedPageBreak/>
        <w:t>szkolenie pracowników Zamawiającego w zakresie użytkowania systemów. Wykonawca zapewni, że osoby przeprowadzające szkolenie będą posiadać niezbędną wiedzę i doświadczenie. Szkolenia odbędą się w lokalizacjach na których została wykonana modernizacja.</w:t>
      </w:r>
    </w:p>
    <w:p w14:paraId="6211C94C" w14:textId="77777777" w:rsidR="00C96730" w:rsidRPr="00F90EBF" w:rsidRDefault="00C96730" w:rsidP="00F90EBF">
      <w:pPr>
        <w:rPr>
          <w:rFonts w:ascii="Arial" w:hAnsi="Arial" w:cs="Arial"/>
        </w:rPr>
      </w:pPr>
    </w:p>
    <w:sectPr w:rsidR="00C96730" w:rsidRPr="00F90E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2AC3D" w14:textId="77777777" w:rsidR="002F4893" w:rsidRDefault="002F4893" w:rsidP="00020E45">
      <w:r>
        <w:separator/>
      </w:r>
    </w:p>
  </w:endnote>
  <w:endnote w:type="continuationSeparator" w:id="0">
    <w:p w14:paraId="47C329D3" w14:textId="77777777" w:rsidR="002F4893" w:rsidRDefault="002F4893" w:rsidP="00020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AF919" w14:textId="77777777" w:rsidR="002F4893" w:rsidRDefault="002F4893" w:rsidP="00020E45">
      <w:r>
        <w:separator/>
      </w:r>
    </w:p>
  </w:footnote>
  <w:footnote w:type="continuationSeparator" w:id="0">
    <w:p w14:paraId="4AF7324C" w14:textId="77777777" w:rsidR="002F4893" w:rsidRDefault="002F4893" w:rsidP="00020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9DD6" w14:textId="09767626" w:rsidR="00020E45" w:rsidRDefault="00020E45" w:rsidP="00020E45">
    <w:pPr>
      <w:pStyle w:val="Nagwek"/>
      <w:jc w:val="right"/>
    </w:pPr>
    <w:r>
      <w:t xml:space="preserve">Załącznik nr </w:t>
    </w:r>
    <w:r w:rsidR="007A7E3F">
      <w:t>1</w:t>
    </w:r>
    <w:r>
      <w:t xml:space="preserve">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 w15:restartNumberingAfterBreak="0">
    <w:nsid w:val="00000009"/>
    <w:multiLevelType w:val="multilevel"/>
    <w:tmpl w:val="FFFFFFFF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" w15:restartNumberingAfterBreak="0">
    <w:nsid w:val="0000000B"/>
    <w:multiLevelType w:val="multilevel"/>
    <w:tmpl w:val="922E8342"/>
    <w:lvl w:ilvl="0">
      <w:start w:val="1"/>
      <w:numFmt w:val="bullet"/>
      <w:lvlText w:val="●"/>
      <w:lvlJc w:val="left"/>
      <w:rPr>
        <w:rFonts w:ascii="Arial" w:hAnsi="Aria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3" w15:restartNumberingAfterBreak="0">
    <w:nsid w:val="08D45A67"/>
    <w:multiLevelType w:val="hybridMultilevel"/>
    <w:tmpl w:val="792AE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0B8"/>
    <w:multiLevelType w:val="hybridMultilevel"/>
    <w:tmpl w:val="FFFFFFFF"/>
    <w:lvl w:ilvl="0" w:tplc="D1CE71A4">
      <w:start w:val="1"/>
      <w:numFmt w:val="bullet"/>
      <w:lvlText w:val=""/>
      <w:lvlJc w:val="left"/>
      <w:pPr>
        <w:ind w:left="1134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5" w15:restartNumberingAfterBreak="0">
    <w:nsid w:val="0D4665E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27198"/>
    <w:multiLevelType w:val="hybridMultilevel"/>
    <w:tmpl w:val="FFFFFFFF"/>
    <w:lvl w:ilvl="0" w:tplc="D1CE71A4">
      <w:start w:val="1"/>
      <w:numFmt w:val="bullet"/>
      <w:lvlText w:val=""/>
      <w:lvlJc w:val="left"/>
      <w:pPr>
        <w:ind w:left="1134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D2AB9"/>
    <w:multiLevelType w:val="hybridMultilevel"/>
    <w:tmpl w:val="FFFFFFFF"/>
    <w:lvl w:ilvl="0" w:tplc="ADCE4EA6">
      <w:start w:val="1"/>
      <w:numFmt w:val="bullet"/>
      <w:lvlText w:val="●"/>
      <w:lvlJc w:val="left"/>
      <w:pPr>
        <w:ind w:left="720" w:hanging="360"/>
      </w:pPr>
      <w:rPr>
        <w:rFonts w:ascii="Arial" w:hAnsi="Arial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1131A"/>
    <w:multiLevelType w:val="hybridMultilevel"/>
    <w:tmpl w:val="FFFFFFFF"/>
    <w:lvl w:ilvl="0" w:tplc="E24634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71760D0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351AD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35B4D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2" w15:restartNumberingAfterBreak="0">
    <w:nsid w:val="2F0C1BD8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8076E9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6163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073503"/>
    <w:multiLevelType w:val="hybridMultilevel"/>
    <w:tmpl w:val="FFFFFFFF"/>
    <w:lvl w:ilvl="0" w:tplc="ADCE4EA6">
      <w:start w:val="1"/>
      <w:numFmt w:val="bullet"/>
      <w:lvlText w:val="●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6454D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D68AC"/>
    <w:multiLevelType w:val="hybridMultilevel"/>
    <w:tmpl w:val="FFFFFFFF"/>
    <w:lvl w:ilvl="0" w:tplc="D1CE71A4">
      <w:start w:val="1"/>
      <w:numFmt w:val="bullet"/>
      <w:lvlText w:val=""/>
      <w:lvlJc w:val="left"/>
      <w:pPr>
        <w:ind w:left="1134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AC51FE"/>
    <w:multiLevelType w:val="hybridMultilevel"/>
    <w:tmpl w:val="DE24926E"/>
    <w:lvl w:ilvl="0" w:tplc="252EBD74">
      <w:start w:val="1"/>
      <w:numFmt w:val="decimal"/>
      <w:lvlText w:val="%1)"/>
      <w:lvlJc w:val="left"/>
      <w:pPr>
        <w:ind w:left="1080" w:hanging="360"/>
      </w:pPr>
      <w:rPr>
        <w:rFonts w:ascii="Arial" w:eastAsiaTheme="minorHAnsi" w:hAnsi="Arial" w:cs="Arial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DF49F4"/>
    <w:multiLevelType w:val="hybridMultilevel"/>
    <w:tmpl w:val="05606C28"/>
    <w:lvl w:ilvl="0" w:tplc="B2E0CD24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44454200"/>
    <w:multiLevelType w:val="hybridMultilevel"/>
    <w:tmpl w:val="88E42EA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0193C"/>
    <w:multiLevelType w:val="hybridMultilevel"/>
    <w:tmpl w:val="92F67DD2"/>
    <w:lvl w:ilvl="0" w:tplc="ADCE4EA6">
      <w:start w:val="1"/>
      <w:numFmt w:val="bullet"/>
      <w:lvlText w:val="●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F0D51"/>
    <w:multiLevelType w:val="hybridMultilevel"/>
    <w:tmpl w:val="FFFFFFFF"/>
    <w:lvl w:ilvl="0" w:tplc="D1CE71A4">
      <w:start w:val="1"/>
      <w:numFmt w:val="bullet"/>
      <w:lvlText w:val=""/>
      <w:lvlJc w:val="left"/>
      <w:pPr>
        <w:ind w:left="1134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80155"/>
    <w:multiLevelType w:val="hybridMultilevel"/>
    <w:tmpl w:val="FFFFFFFF"/>
    <w:lvl w:ilvl="0" w:tplc="1214E35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7864E3D"/>
    <w:multiLevelType w:val="hybridMultilevel"/>
    <w:tmpl w:val="8C749F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77E88"/>
    <w:multiLevelType w:val="multilevel"/>
    <w:tmpl w:val="FFFFFFFF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26" w15:restartNumberingAfterBreak="0">
    <w:nsid w:val="716921CC"/>
    <w:multiLevelType w:val="hybridMultilevel"/>
    <w:tmpl w:val="BD8637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266DD"/>
    <w:multiLevelType w:val="hybridMultilevel"/>
    <w:tmpl w:val="70C83400"/>
    <w:lvl w:ilvl="0" w:tplc="ADCE4EA6">
      <w:start w:val="1"/>
      <w:numFmt w:val="bullet"/>
      <w:lvlText w:val="●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6F2E18"/>
    <w:multiLevelType w:val="multilevel"/>
    <w:tmpl w:val="01ECF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3355423">
    <w:abstractNumId w:val="0"/>
  </w:num>
  <w:num w:numId="2" w16cid:durableId="1088961480">
    <w:abstractNumId w:val="1"/>
  </w:num>
  <w:num w:numId="3" w16cid:durableId="519974829">
    <w:abstractNumId w:val="2"/>
  </w:num>
  <w:num w:numId="4" w16cid:durableId="1454834169">
    <w:abstractNumId w:val="8"/>
  </w:num>
  <w:num w:numId="5" w16cid:durableId="1665815155">
    <w:abstractNumId w:val="23"/>
  </w:num>
  <w:num w:numId="6" w16cid:durableId="679160381">
    <w:abstractNumId w:val="14"/>
  </w:num>
  <w:num w:numId="7" w16cid:durableId="1818256730">
    <w:abstractNumId w:val="10"/>
  </w:num>
  <w:num w:numId="8" w16cid:durableId="1458449295">
    <w:abstractNumId w:val="13"/>
  </w:num>
  <w:num w:numId="9" w16cid:durableId="1332829221">
    <w:abstractNumId w:val="11"/>
  </w:num>
  <w:num w:numId="10" w16cid:durableId="851727912">
    <w:abstractNumId w:val="12"/>
  </w:num>
  <w:num w:numId="11" w16cid:durableId="1363939014">
    <w:abstractNumId w:val="3"/>
  </w:num>
  <w:num w:numId="12" w16cid:durableId="38093486">
    <w:abstractNumId w:val="16"/>
  </w:num>
  <w:num w:numId="13" w16cid:durableId="1316684544">
    <w:abstractNumId w:val="5"/>
  </w:num>
  <w:num w:numId="14" w16cid:durableId="1147209813">
    <w:abstractNumId w:val="9"/>
  </w:num>
  <w:num w:numId="15" w16cid:durableId="352390138">
    <w:abstractNumId w:val="7"/>
  </w:num>
  <w:num w:numId="16" w16cid:durableId="425425427">
    <w:abstractNumId w:val="15"/>
  </w:num>
  <w:num w:numId="17" w16cid:durableId="1355838017">
    <w:abstractNumId w:val="4"/>
  </w:num>
  <w:num w:numId="18" w16cid:durableId="1813791232">
    <w:abstractNumId w:val="17"/>
  </w:num>
  <w:num w:numId="19" w16cid:durableId="1156528009">
    <w:abstractNumId w:val="22"/>
  </w:num>
  <w:num w:numId="20" w16cid:durableId="1335448668">
    <w:abstractNumId w:val="6"/>
  </w:num>
  <w:num w:numId="21" w16cid:durableId="411045357">
    <w:abstractNumId w:val="24"/>
  </w:num>
  <w:num w:numId="22" w16cid:durableId="453863199">
    <w:abstractNumId w:val="26"/>
  </w:num>
  <w:num w:numId="23" w16cid:durableId="165632552">
    <w:abstractNumId w:val="19"/>
  </w:num>
  <w:num w:numId="24" w16cid:durableId="222301230">
    <w:abstractNumId w:val="18"/>
  </w:num>
  <w:num w:numId="25" w16cid:durableId="1499880910">
    <w:abstractNumId w:val="25"/>
  </w:num>
  <w:num w:numId="26" w16cid:durableId="569996862">
    <w:abstractNumId w:val="28"/>
  </w:num>
  <w:num w:numId="27" w16cid:durableId="1316447206">
    <w:abstractNumId w:val="20"/>
  </w:num>
  <w:num w:numId="28" w16cid:durableId="273678378">
    <w:abstractNumId w:val="27"/>
  </w:num>
  <w:num w:numId="29" w16cid:durableId="126353545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9FA"/>
    <w:rsid w:val="00020E45"/>
    <w:rsid w:val="00075182"/>
    <w:rsid w:val="00106A48"/>
    <w:rsid w:val="001636EC"/>
    <w:rsid w:val="001713C9"/>
    <w:rsid w:val="00174532"/>
    <w:rsid w:val="00197E31"/>
    <w:rsid w:val="001B51F5"/>
    <w:rsid w:val="00206559"/>
    <w:rsid w:val="002F4893"/>
    <w:rsid w:val="00332AD9"/>
    <w:rsid w:val="003A0AE0"/>
    <w:rsid w:val="003A14F4"/>
    <w:rsid w:val="003B7A3B"/>
    <w:rsid w:val="003C0521"/>
    <w:rsid w:val="003D1207"/>
    <w:rsid w:val="0040213F"/>
    <w:rsid w:val="00411DBE"/>
    <w:rsid w:val="004B66F7"/>
    <w:rsid w:val="00564C68"/>
    <w:rsid w:val="0057279B"/>
    <w:rsid w:val="00591CBC"/>
    <w:rsid w:val="00603AD8"/>
    <w:rsid w:val="006410F6"/>
    <w:rsid w:val="006D460C"/>
    <w:rsid w:val="00732273"/>
    <w:rsid w:val="00763C21"/>
    <w:rsid w:val="00765CDE"/>
    <w:rsid w:val="007A23D7"/>
    <w:rsid w:val="007A7E3F"/>
    <w:rsid w:val="007B5FA8"/>
    <w:rsid w:val="00803245"/>
    <w:rsid w:val="00812DC8"/>
    <w:rsid w:val="00831046"/>
    <w:rsid w:val="008A199F"/>
    <w:rsid w:val="00925178"/>
    <w:rsid w:val="009C4CC9"/>
    <w:rsid w:val="009C63A8"/>
    <w:rsid w:val="009E0C2A"/>
    <w:rsid w:val="00A0149C"/>
    <w:rsid w:val="00A21790"/>
    <w:rsid w:val="00A63232"/>
    <w:rsid w:val="00A8409F"/>
    <w:rsid w:val="00AF00CA"/>
    <w:rsid w:val="00B74A26"/>
    <w:rsid w:val="00C96730"/>
    <w:rsid w:val="00CB6729"/>
    <w:rsid w:val="00D673A6"/>
    <w:rsid w:val="00DA3E6B"/>
    <w:rsid w:val="00E619FA"/>
    <w:rsid w:val="00EB0490"/>
    <w:rsid w:val="00EF7452"/>
    <w:rsid w:val="00F14C95"/>
    <w:rsid w:val="00F41A28"/>
    <w:rsid w:val="00F435A3"/>
    <w:rsid w:val="00F72A58"/>
    <w:rsid w:val="00F86E2C"/>
    <w:rsid w:val="00F90EBF"/>
    <w:rsid w:val="00FC2FEF"/>
    <w:rsid w:val="00FF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C4C78"/>
  <w15:chartTrackingRefBased/>
  <w15:docId w15:val="{65B99397-D7AD-4FFF-96FE-30930C2D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7A3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19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619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619F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9F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9F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9F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9F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9F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9F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9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619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619F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9F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9F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9F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9F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9F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9F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9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9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9F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9F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9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9FA"/>
    <w:rPr>
      <w:i/>
      <w:iCs/>
      <w:color w:val="404040" w:themeColor="text1" w:themeTint="BF"/>
    </w:rPr>
  </w:style>
  <w:style w:type="paragraph" w:styleId="Akapitzlist">
    <w:name w:val="List Paragraph"/>
    <w:aliases w:val="Preambuła,Kolorowa lista — akcent 11,Podsis rysunku,L1,Numerowanie,Odstavec,lp1,Średnia lista 2 — akcent 41"/>
    <w:basedOn w:val="Normalny"/>
    <w:link w:val="AkapitzlistZnak"/>
    <w:uiPriority w:val="34"/>
    <w:qFormat/>
    <w:rsid w:val="00E619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9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9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9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9FA"/>
    <w:rPr>
      <w:b/>
      <w:bCs/>
      <w:smallCaps/>
      <w:color w:val="0F4761" w:themeColor="accent1" w:themeShade="BF"/>
      <w:spacing w:val="5"/>
    </w:rPr>
  </w:style>
  <w:style w:type="character" w:customStyle="1" w:styleId="CharStyle8">
    <w:name w:val="Char Style 8"/>
    <w:basedOn w:val="Domylnaczcionkaakapitu"/>
    <w:link w:val="Style7"/>
    <w:uiPriority w:val="99"/>
    <w:rsid w:val="003B7A3B"/>
    <w:rPr>
      <w:sz w:val="20"/>
      <w:szCs w:val="20"/>
    </w:rPr>
  </w:style>
  <w:style w:type="character" w:customStyle="1" w:styleId="CharStyle11">
    <w:name w:val="Char Style 11"/>
    <w:basedOn w:val="Domylnaczcionkaakapitu"/>
    <w:link w:val="Style10"/>
    <w:uiPriority w:val="99"/>
    <w:rsid w:val="003B7A3B"/>
    <w:rPr>
      <w:b/>
      <w:bCs/>
      <w:sz w:val="20"/>
      <w:szCs w:val="20"/>
    </w:rPr>
  </w:style>
  <w:style w:type="paragraph" w:customStyle="1" w:styleId="Style7">
    <w:name w:val="Style 7"/>
    <w:basedOn w:val="Normalny"/>
    <w:link w:val="CharStyle8"/>
    <w:uiPriority w:val="99"/>
    <w:rsid w:val="003B7A3B"/>
    <w:pPr>
      <w:spacing w:after="100"/>
    </w:pPr>
    <w:rPr>
      <w:rFonts w:ascii="Arial" w:eastAsiaTheme="minorHAnsi" w:hAnsi="Arial" w:cs="Arial"/>
      <w:color w:val="auto"/>
      <w:kern w:val="2"/>
      <w:sz w:val="20"/>
      <w:szCs w:val="20"/>
      <w:lang w:eastAsia="en-US"/>
      <w14:ligatures w14:val="standardContextual"/>
    </w:rPr>
  </w:style>
  <w:style w:type="paragraph" w:customStyle="1" w:styleId="Style10">
    <w:name w:val="Style 10"/>
    <w:basedOn w:val="Normalny"/>
    <w:link w:val="CharStyle11"/>
    <w:uiPriority w:val="99"/>
    <w:rsid w:val="003B7A3B"/>
    <w:pPr>
      <w:spacing w:after="100"/>
      <w:outlineLvl w:val="0"/>
    </w:pPr>
    <w:rPr>
      <w:rFonts w:ascii="Arial" w:eastAsiaTheme="minorHAnsi" w:hAnsi="Arial" w:cs="Arial"/>
      <w:b/>
      <w:bCs/>
      <w:color w:val="auto"/>
      <w:kern w:val="2"/>
      <w:sz w:val="20"/>
      <w:szCs w:val="20"/>
      <w:lang w:eastAsia="en-US"/>
      <w14:ligatures w14:val="standardContextual"/>
    </w:rPr>
  </w:style>
  <w:style w:type="paragraph" w:styleId="Bezodstpw">
    <w:name w:val="No Spacing"/>
    <w:uiPriority w:val="1"/>
    <w:qFormat/>
    <w:rsid w:val="003B7A3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3B7A3B"/>
    <w:pPr>
      <w:widowControl/>
      <w:spacing w:after="200" w:line="276" w:lineRule="auto"/>
      <w:contextualSpacing/>
    </w:pPr>
    <w:rPr>
      <w:rFonts w:ascii="Cambria" w:eastAsia="MS Mincho" w:hAnsi="Cambria"/>
      <w:color w:val="auto"/>
      <w:sz w:val="22"/>
      <w:szCs w:val="22"/>
      <w:lang w:val="en-US" w:eastAsia="en-US"/>
    </w:rPr>
  </w:style>
  <w:style w:type="character" w:customStyle="1" w:styleId="AkapitzlistZnak">
    <w:name w:val="Akapit z listą Znak"/>
    <w:aliases w:val="Preambuła Znak,Kolorowa lista — akcent 11 Znak,Podsis rysunku Znak,L1 Znak,Numerowanie Znak,Odstavec Znak,lp1 Znak,Średnia lista 2 — akcent 41 Znak"/>
    <w:link w:val="Akapitzlist"/>
    <w:uiPriority w:val="34"/>
    <w:qFormat/>
    <w:locked/>
    <w:rsid w:val="003B7A3B"/>
  </w:style>
  <w:style w:type="paragraph" w:styleId="Nagwek">
    <w:name w:val="header"/>
    <w:basedOn w:val="Normalny"/>
    <w:link w:val="NagwekZnak"/>
    <w:uiPriority w:val="99"/>
    <w:unhideWhenUsed/>
    <w:rsid w:val="00020E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0E45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20E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0E45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5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7</Pages>
  <Words>2084</Words>
  <Characters>12505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Miklasz Michał (PSG)</dc:creator>
  <cp:keywords/>
  <dc:description/>
  <cp:lastModifiedBy>Miklasz Michał (PSG)</cp:lastModifiedBy>
  <cp:revision>21</cp:revision>
  <dcterms:created xsi:type="dcterms:W3CDTF">2026-04-15T10:02:00Z</dcterms:created>
  <dcterms:modified xsi:type="dcterms:W3CDTF">2026-06-29T08:50:00Z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2026-04-30T11:40:01Z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91f9b7ff-9788-474e-9e65-33b06afaba3e</vt:lpwstr>
  </property>
  <property fmtid="{D5CDD505-2E9C-101B-9397-08002B2CF9AE}" pid="8" name="MSIP_Label_49f13cfd-5796-464f-b156-41c62f2d4b30_ContentBits">
    <vt:lpwstr>0</vt:lpwstr>
  </property>
</Properties>
</file>